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3E01" w:rsidRPr="00725503" w:rsidRDefault="00B93E01" w:rsidP="00B93E01">
      <w:pPr>
        <w:jc w:val="center"/>
        <w:rPr>
          <w:rFonts w:ascii="Times New Roman" w:hAnsi="Times New Roman" w:cs="Times New Roman"/>
          <w:b/>
          <w:bCs/>
          <w:i/>
          <w:iCs/>
          <w:sz w:val="48"/>
          <w:szCs w:val="48"/>
          <w:lang w:eastAsia="fr-CA"/>
        </w:rPr>
      </w:pPr>
      <w:r w:rsidRPr="00725503">
        <w:rPr>
          <w:rFonts w:ascii="Times New Roman" w:hAnsi="Times New Roman" w:cs="Times New Roman"/>
          <w:b/>
          <w:bCs/>
          <w:i/>
          <w:iCs/>
          <w:sz w:val="48"/>
          <w:szCs w:val="48"/>
          <w:lang w:eastAsia="fr-CA"/>
        </w:rPr>
        <w:t>Vers l’effacement de la mention de sexe</w:t>
      </w:r>
    </w:p>
    <w:p w:rsidR="00725503" w:rsidRPr="00725503" w:rsidRDefault="00725503" w:rsidP="00B93E01">
      <w:pPr>
        <w:jc w:val="center"/>
        <w:rPr>
          <w:rFonts w:ascii="Times New Roman" w:hAnsi="Times New Roman" w:cs="Times New Roman"/>
          <w:b/>
          <w:bCs/>
          <w:i/>
          <w:iCs/>
          <w:sz w:val="48"/>
          <w:szCs w:val="48"/>
          <w:lang w:eastAsia="fr-CA"/>
        </w:rPr>
      </w:pPr>
      <w:bookmarkStart w:id="0" w:name="_GoBack"/>
      <w:bookmarkEnd w:id="0"/>
    </w:p>
    <w:p w:rsidR="00725503" w:rsidRPr="00725503" w:rsidRDefault="00725503" w:rsidP="00725503">
      <w:pPr>
        <w:spacing w:after="0" w:line="240" w:lineRule="auto"/>
        <w:rPr>
          <w:rFonts w:ascii="Times New Roman" w:hAnsi="Times New Roman" w:cs="Times New Roman"/>
          <w:i/>
          <w:iCs/>
          <w:sz w:val="32"/>
          <w:szCs w:val="32"/>
          <w:lang w:eastAsia="fr-CA"/>
        </w:rPr>
      </w:pPr>
      <w:r w:rsidRPr="00725503">
        <w:rPr>
          <w:rFonts w:ascii="Times New Roman" w:hAnsi="Times New Roman" w:cs="Times New Roman"/>
          <w:i/>
          <w:iCs/>
          <w:sz w:val="32"/>
          <w:szCs w:val="32"/>
          <w:lang w:eastAsia="fr-CA"/>
        </w:rPr>
        <w:t>Journal de Montréal</w:t>
      </w:r>
    </w:p>
    <w:p w:rsidR="00725503" w:rsidRPr="00725503" w:rsidRDefault="00725503" w:rsidP="00725503">
      <w:pPr>
        <w:spacing w:after="0" w:line="240" w:lineRule="auto"/>
        <w:rPr>
          <w:rFonts w:ascii="Times New Roman" w:hAnsi="Times New Roman" w:cs="Times New Roman"/>
          <w:sz w:val="32"/>
          <w:szCs w:val="32"/>
          <w:lang w:eastAsia="fr-CA"/>
        </w:rPr>
      </w:pPr>
      <w:r w:rsidRPr="00725503">
        <w:rPr>
          <w:rFonts w:ascii="Times New Roman" w:hAnsi="Times New Roman" w:cs="Times New Roman"/>
          <w:sz w:val="32"/>
          <w:szCs w:val="32"/>
          <w:lang w:eastAsia="fr-CA"/>
        </w:rPr>
        <w:t>5 février 2021</w:t>
      </w:r>
    </w:p>
    <w:p w:rsidR="00B93E01" w:rsidRPr="00725503" w:rsidRDefault="00B93E01" w:rsidP="00B93E01">
      <w:pPr>
        <w:jc w:val="both"/>
        <w:rPr>
          <w:rFonts w:ascii="Times New Roman" w:hAnsi="Times New Roman" w:cs="Times New Roman"/>
          <w:sz w:val="24"/>
          <w:szCs w:val="24"/>
          <w:lang w:eastAsia="fr-CA"/>
        </w:rPr>
      </w:pPr>
    </w:p>
    <w:p w:rsidR="00B93E01" w:rsidRPr="00725503" w:rsidRDefault="00B93E01" w:rsidP="00B93E01">
      <w:pPr>
        <w:jc w:val="both"/>
        <w:rPr>
          <w:rFonts w:ascii="Times New Roman" w:hAnsi="Times New Roman" w:cs="Times New Roman"/>
          <w:sz w:val="24"/>
          <w:szCs w:val="24"/>
          <w:lang w:eastAsia="fr-CA"/>
        </w:rPr>
      </w:pPr>
      <w:r w:rsidRPr="00725503">
        <w:rPr>
          <w:rFonts w:ascii="Times New Roman" w:hAnsi="Times New Roman" w:cs="Times New Roman"/>
          <w:sz w:val="24"/>
          <w:szCs w:val="24"/>
          <w:lang w:eastAsia="fr-CA"/>
        </w:rPr>
        <w:t>Un </w:t>
      </w:r>
      <w:hyperlink r:id="rId5" w:tgtFrame="_blank" w:history="1">
        <w:r w:rsidRPr="00725503">
          <w:rPr>
            <w:rFonts w:ascii="Times New Roman" w:hAnsi="Times New Roman" w:cs="Times New Roman"/>
            <w:sz w:val="24"/>
            <w:szCs w:val="24"/>
            <w:lang w:eastAsia="fr-CA"/>
          </w:rPr>
          <w:t>jugement fort troublant</w:t>
        </w:r>
      </w:hyperlink>
      <w:r w:rsidRPr="00725503">
        <w:rPr>
          <w:rFonts w:ascii="Times New Roman" w:hAnsi="Times New Roman" w:cs="Times New Roman"/>
          <w:sz w:val="24"/>
          <w:szCs w:val="24"/>
          <w:lang w:eastAsia="fr-CA"/>
        </w:rPr>
        <w:t> a été rendu le 28 janvier à la Cour supérieure du Québec, qui porte un coup dur à la notion légale de sexe. Des mots comme femme et homme, mère et père, sont jugés discriminatoires envers les personnes non-binaires. </w:t>
      </w:r>
    </w:p>
    <w:p w:rsidR="00B93E01" w:rsidRPr="00725503" w:rsidRDefault="00B93E01" w:rsidP="00B93E01">
      <w:pPr>
        <w:jc w:val="both"/>
        <w:rPr>
          <w:rFonts w:ascii="Times New Roman" w:hAnsi="Times New Roman" w:cs="Times New Roman"/>
          <w:sz w:val="24"/>
          <w:szCs w:val="24"/>
          <w:lang w:eastAsia="fr-CA"/>
        </w:rPr>
      </w:pPr>
      <w:r w:rsidRPr="00725503">
        <w:rPr>
          <w:rFonts w:ascii="Times New Roman" w:hAnsi="Times New Roman" w:cs="Times New Roman"/>
          <w:sz w:val="24"/>
          <w:szCs w:val="24"/>
          <w:lang w:eastAsia="fr-CA"/>
        </w:rPr>
        <w:t>Plusieurs articles du Code civil sont invalidés en raison de la présence des mots</w:t>
      </w:r>
      <w:proofErr w:type="gramStart"/>
      <w:r w:rsidRPr="00725503">
        <w:rPr>
          <w:rFonts w:ascii="Times New Roman" w:hAnsi="Times New Roman" w:cs="Times New Roman"/>
          <w:sz w:val="24"/>
          <w:szCs w:val="24"/>
          <w:lang w:eastAsia="fr-CA"/>
        </w:rPr>
        <w:t xml:space="preserve"> «sexe</w:t>
      </w:r>
      <w:proofErr w:type="gramEnd"/>
      <w:r w:rsidRPr="00725503">
        <w:rPr>
          <w:rFonts w:ascii="Times New Roman" w:hAnsi="Times New Roman" w:cs="Times New Roman"/>
          <w:sz w:val="24"/>
          <w:szCs w:val="24"/>
          <w:lang w:eastAsia="fr-CA"/>
        </w:rPr>
        <w:t>», «mère», «père». Même si les articles du Code civil permettent déjà d’interpréter ces mots en fonction de l’identité de genre plutôt que du sexe biologique, même si le procureur général propose de remplacer, sur demande, les mots mère et père par «filiation» (alinéa [177]), même s’il s’est engagé à délivrer des certificats de naissance ne comportant pas de désignation de sexe, les articles du Code civil seraient néanmoins inconstitutionnels, car ils rendraient invisibles les personnes non-binaires qui ne s’identifient ni comme femme ni comme homme, ou les deux.</w:t>
      </w:r>
    </w:p>
    <w:p w:rsidR="00B93E01" w:rsidRPr="00725503" w:rsidRDefault="00B93E01" w:rsidP="00B93E01">
      <w:pPr>
        <w:jc w:val="both"/>
        <w:rPr>
          <w:rFonts w:ascii="Times New Roman" w:hAnsi="Times New Roman" w:cs="Times New Roman"/>
          <w:sz w:val="24"/>
          <w:szCs w:val="24"/>
          <w:lang w:eastAsia="fr-CA"/>
        </w:rPr>
      </w:pPr>
      <w:r w:rsidRPr="00725503">
        <w:rPr>
          <w:rFonts w:ascii="Times New Roman" w:hAnsi="Times New Roman" w:cs="Times New Roman"/>
          <w:sz w:val="24"/>
          <w:szCs w:val="24"/>
          <w:lang w:eastAsia="fr-CA"/>
        </w:rPr>
        <w:t>Ainsi, ce jugement tend à faire disparaitre la binarité des sexes du registre de l’état civil. Or, si les catégories hommes/femmes n’existent plus, le principe même d’égalité des sexes devient caduc. Comment continuer, dans ces conditions, à défendre les droits des femmes basés sur le sexe? Qu’advient-il des sports féminins, des toilettes, vestiaires ou refuges non-mixtes? Que deviennent les prisons pour femmes? Comment continuer à promouvoir l’équité en matière d’emploi ou à combattre les violences faites aux femmes?</w:t>
      </w:r>
    </w:p>
    <w:p w:rsidR="00B93E01" w:rsidRPr="00725503" w:rsidRDefault="00B93E01" w:rsidP="00B93E01">
      <w:pPr>
        <w:jc w:val="both"/>
        <w:rPr>
          <w:rFonts w:ascii="Times New Roman" w:hAnsi="Times New Roman" w:cs="Times New Roman"/>
          <w:sz w:val="24"/>
          <w:szCs w:val="24"/>
          <w:lang w:eastAsia="fr-CA"/>
        </w:rPr>
      </w:pPr>
      <w:r w:rsidRPr="00725503">
        <w:rPr>
          <w:rFonts w:ascii="Times New Roman" w:hAnsi="Times New Roman" w:cs="Times New Roman"/>
          <w:sz w:val="24"/>
          <w:szCs w:val="24"/>
          <w:lang w:eastAsia="fr-CA"/>
        </w:rPr>
        <w:t>Les personnes transgenres et non-binaires doivent bénéficier de toutes les mesures de protection auxquelles elles ont droit contre les discriminations. Mais cela ne passe pas par la négation juridique de la notion de sexe.</w:t>
      </w:r>
    </w:p>
    <w:p w:rsidR="00B93E01" w:rsidRPr="00725503" w:rsidRDefault="00B93E01" w:rsidP="00B93E01">
      <w:pPr>
        <w:jc w:val="both"/>
        <w:rPr>
          <w:rFonts w:ascii="Times New Roman" w:hAnsi="Times New Roman" w:cs="Times New Roman"/>
          <w:sz w:val="24"/>
          <w:szCs w:val="24"/>
          <w:lang w:eastAsia="fr-CA"/>
        </w:rPr>
      </w:pPr>
      <w:r w:rsidRPr="00725503">
        <w:rPr>
          <w:rFonts w:ascii="Times New Roman" w:hAnsi="Times New Roman" w:cs="Times New Roman"/>
          <w:sz w:val="24"/>
          <w:szCs w:val="24"/>
          <w:lang w:eastAsia="fr-CA"/>
        </w:rPr>
        <w:t>Écoutez l'entrevue de Richard Martineau avec Nadia El-Mabrouk, signataire de la lettre, sur QUB radio: </w:t>
      </w:r>
    </w:p>
    <w:p w:rsidR="00B93E01" w:rsidRPr="00725503" w:rsidRDefault="00B93E01" w:rsidP="00B93E01">
      <w:pPr>
        <w:jc w:val="both"/>
        <w:rPr>
          <w:rFonts w:ascii="Times New Roman" w:hAnsi="Times New Roman" w:cs="Times New Roman"/>
          <w:sz w:val="24"/>
          <w:szCs w:val="24"/>
          <w:lang w:eastAsia="fr-CA"/>
        </w:rPr>
      </w:pPr>
      <w:r w:rsidRPr="00725503">
        <w:rPr>
          <w:rFonts w:ascii="Times New Roman" w:hAnsi="Times New Roman" w:cs="Times New Roman"/>
          <w:sz w:val="24"/>
          <w:szCs w:val="24"/>
          <w:lang w:eastAsia="fr-CA"/>
        </w:rPr>
        <w:t>Plusieurs articles du jugement (</w:t>
      </w:r>
      <w:proofErr w:type="spellStart"/>
      <w:r w:rsidRPr="00725503">
        <w:rPr>
          <w:rFonts w:ascii="Times New Roman" w:hAnsi="Times New Roman" w:cs="Times New Roman"/>
          <w:sz w:val="24"/>
          <w:szCs w:val="24"/>
          <w:lang w:eastAsia="fr-CA"/>
        </w:rPr>
        <w:t>c.f</w:t>
      </w:r>
      <w:proofErr w:type="spellEnd"/>
      <w:r w:rsidRPr="00725503">
        <w:rPr>
          <w:rFonts w:ascii="Times New Roman" w:hAnsi="Times New Roman" w:cs="Times New Roman"/>
          <w:sz w:val="24"/>
          <w:szCs w:val="24"/>
          <w:lang w:eastAsia="fr-CA"/>
        </w:rPr>
        <w:t xml:space="preserve">. [37]) laissent entendre que le genre, et non pas le sexe, serait la véritable identité de la personne. Or, différentes personnes ont une définition différente du genre, de l’identité de genre ou de la non-binarité. Une identité civile ne devrait-elle pas être basée sur une caractéristique ayant une acceptation linguistique commune? Dans la loi, la définition donnée est circulaire (traduction libre de l’anglais de l’alinéa [2]) : « Le genre fait référence au genre qu'une personne ressent intérieurement et/ou au genre qu'une personne exprime publiquement dans sa vie quotidienne, y compris au travail, en faisant ses courses ou en accédant à d'autres services, dans son quartier ou dans la communauté au sens large. » N’est-il pas étonnant qu’ainsi défini, le genre soit </w:t>
      </w:r>
      <w:r w:rsidRPr="00725503">
        <w:rPr>
          <w:rFonts w:ascii="Times New Roman" w:hAnsi="Times New Roman" w:cs="Times New Roman"/>
          <w:sz w:val="24"/>
          <w:szCs w:val="24"/>
          <w:lang w:eastAsia="fr-CA"/>
        </w:rPr>
        <w:lastRenderedPageBreak/>
        <w:t>considéré, dans le jugement, comme une caractéristique intrinsèque de la personne, au même titre que la « race », le sexe ou l’origine nationale?</w:t>
      </w:r>
    </w:p>
    <w:p w:rsidR="00B93E01" w:rsidRPr="00725503" w:rsidRDefault="00B93E01" w:rsidP="00B93E01">
      <w:pPr>
        <w:jc w:val="both"/>
        <w:rPr>
          <w:rFonts w:ascii="Times New Roman" w:hAnsi="Times New Roman" w:cs="Times New Roman"/>
          <w:sz w:val="24"/>
          <w:szCs w:val="24"/>
          <w:lang w:eastAsia="fr-CA"/>
        </w:rPr>
      </w:pPr>
      <w:r w:rsidRPr="00725503">
        <w:rPr>
          <w:rFonts w:ascii="Times New Roman" w:hAnsi="Times New Roman" w:cs="Times New Roman"/>
          <w:sz w:val="24"/>
          <w:szCs w:val="24"/>
          <w:lang w:eastAsia="fr-CA"/>
        </w:rPr>
        <w:t>L’affirmation (alinéa [106]) à l’effet que l’identité de genre serait une caractéristique immuable de la personne dès le plus jeune âge contrevient à ce que la psychologie explique concernant le développement des jeunes et contredit le fait que 61 à 98% (selon les articles scientifiques) des enfants ayant une dysphorie du genre ne s’identifient plus comme transgenre à un moment donné </w:t>
      </w:r>
      <w:hyperlink r:id="rId6" w:tgtFrame="_blank" w:history="1">
        <w:r w:rsidRPr="00725503">
          <w:rPr>
            <w:rFonts w:ascii="Times New Roman" w:hAnsi="Times New Roman" w:cs="Times New Roman"/>
            <w:sz w:val="24"/>
            <w:szCs w:val="24"/>
            <w:lang w:eastAsia="fr-CA"/>
          </w:rPr>
          <w:t>à l'adolescence ou au début de l'âge adulte</w:t>
        </w:r>
      </w:hyperlink>
      <w:r w:rsidRPr="00725503">
        <w:rPr>
          <w:rFonts w:ascii="Times New Roman" w:hAnsi="Times New Roman" w:cs="Times New Roman"/>
          <w:sz w:val="24"/>
          <w:szCs w:val="24"/>
          <w:lang w:eastAsia="fr-CA"/>
        </w:rPr>
        <w:t>.</w:t>
      </w:r>
    </w:p>
    <w:p w:rsidR="00B93E01" w:rsidRPr="00725503" w:rsidRDefault="00B93E01" w:rsidP="00B93E01">
      <w:pPr>
        <w:jc w:val="both"/>
        <w:rPr>
          <w:rFonts w:ascii="Times New Roman" w:hAnsi="Times New Roman" w:cs="Times New Roman"/>
          <w:sz w:val="24"/>
          <w:szCs w:val="24"/>
          <w:lang w:eastAsia="fr-CA"/>
        </w:rPr>
      </w:pPr>
      <w:r w:rsidRPr="00725503">
        <w:rPr>
          <w:rFonts w:ascii="Times New Roman" w:hAnsi="Times New Roman" w:cs="Times New Roman"/>
          <w:sz w:val="24"/>
          <w:szCs w:val="24"/>
          <w:lang w:eastAsia="fr-CA"/>
        </w:rPr>
        <w:t>Conséquences sur les jeunes</w:t>
      </w:r>
    </w:p>
    <w:p w:rsidR="00B93E01" w:rsidRPr="00725503" w:rsidRDefault="00B93E01" w:rsidP="00B93E01">
      <w:pPr>
        <w:jc w:val="both"/>
        <w:rPr>
          <w:rFonts w:ascii="Times New Roman" w:hAnsi="Times New Roman" w:cs="Times New Roman"/>
          <w:sz w:val="24"/>
          <w:szCs w:val="24"/>
          <w:lang w:eastAsia="fr-CA"/>
        </w:rPr>
      </w:pPr>
      <w:r w:rsidRPr="00725503">
        <w:rPr>
          <w:rFonts w:ascii="Times New Roman" w:hAnsi="Times New Roman" w:cs="Times New Roman"/>
          <w:sz w:val="24"/>
          <w:szCs w:val="24"/>
          <w:lang w:eastAsia="fr-CA"/>
        </w:rPr>
        <w:t>Le juge demande au gouvernement de songer à abolir la nécessité pour un jeune de 14 à 17 ans de consulter un professionnel de la santé avant de demander un changement de mention de sexe. Comment concilier cette demande avec la responsabilité du gouvernement de protéger les jeunes? Comment s’assurer de bien comprendre la situation particulière de chaque jeune et d’éviter un effet de mode, comme cela </w:t>
      </w:r>
      <w:hyperlink r:id="rId7" w:tgtFrame="_blank" w:history="1">
        <w:r w:rsidRPr="00725503">
          <w:rPr>
            <w:rFonts w:ascii="Times New Roman" w:hAnsi="Times New Roman" w:cs="Times New Roman"/>
            <w:sz w:val="24"/>
            <w:szCs w:val="24"/>
            <w:lang w:eastAsia="fr-CA"/>
          </w:rPr>
          <w:t>s’est passé au Royaume-Uni</w:t>
        </w:r>
      </w:hyperlink>
      <w:r w:rsidRPr="00725503">
        <w:rPr>
          <w:rFonts w:ascii="Times New Roman" w:hAnsi="Times New Roman" w:cs="Times New Roman"/>
          <w:sz w:val="24"/>
          <w:szCs w:val="24"/>
          <w:lang w:eastAsia="fr-CA"/>
        </w:rPr>
        <w:t> qui a connu une augmentation de 1000 % d’enfants s’identifiant transgenres, en six ans?</w:t>
      </w:r>
    </w:p>
    <w:p w:rsidR="00B93E01" w:rsidRPr="00725503" w:rsidRDefault="00B93E01" w:rsidP="00B93E01">
      <w:pPr>
        <w:jc w:val="both"/>
        <w:rPr>
          <w:rFonts w:ascii="Times New Roman" w:hAnsi="Times New Roman" w:cs="Times New Roman"/>
          <w:sz w:val="24"/>
          <w:szCs w:val="24"/>
          <w:lang w:eastAsia="fr-CA"/>
        </w:rPr>
      </w:pPr>
      <w:r w:rsidRPr="00725503">
        <w:rPr>
          <w:rFonts w:ascii="Times New Roman" w:hAnsi="Times New Roman" w:cs="Times New Roman"/>
          <w:sz w:val="24"/>
          <w:szCs w:val="24"/>
          <w:lang w:eastAsia="fr-CA"/>
        </w:rPr>
        <w:t xml:space="preserve">La clinique du genre du ministère de la Santé du Royaume-Uni a d’ailleurs dû changer ses pratiques à la suite d’un procès qu’elle a perdu en décembre dernier contre Keira Bell, une jeune « </w:t>
      </w:r>
      <w:proofErr w:type="spellStart"/>
      <w:r w:rsidRPr="00725503">
        <w:rPr>
          <w:rFonts w:ascii="Times New Roman" w:hAnsi="Times New Roman" w:cs="Times New Roman"/>
          <w:sz w:val="24"/>
          <w:szCs w:val="24"/>
          <w:lang w:eastAsia="fr-CA"/>
        </w:rPr>
        <w:t>détransitionneuse</w:t>
      </w:r>
      <w:proofErr w:type="spellEnd"/>
      <w:r w:rsidRPr="00725503">
        <w:rPr>
          <w:rFonts w:ascii="Times New Roman" w:hAnsi="Times New Roman" w:cs="Times New Roman"/>
          <w:sz w:val="24"/>
          <w:szCs w:val="24"/>
          <w:lang w:eastAsia="fr-CA"/>
        </w:rPr>
        <w:t xml:space="preserve"> » ayant déclaré que </w:t>
      </w:r>
      <w:hyperlink r:id="rId8" w:tgtFrame="_blank" w:history="1">
        <w:r w:rsidRPr="00725503">
          <w:rPr>
            <w:rFonts w:ascii="Times New Roman" w:hAnsi="Times New Roman" w:cs="Times New Roman"/>
            <w:sz w:val="24"/>
            <w:szCs w:val="24"/>
            <w:lang w:eastAsia="fr-CA"/>
          </w:rPr>
          <w:t>la clinique aurait dû sonder davantage sa décision</w:t>
        </w:r>
      </w:hyperlink>
      <w:r w:rsidRPr="00725503">
        <w:rPr>
          <w:rFonts w:ascii="Times New Roman" w:hAnsi="Times New Roman" w:cs="Times New Roman"/>
          <w:sz w:val="24"/>
          <w:szCs w:val="24"/>
          <w:lang w:eastAsia="fr-CA"/>
        </w:rPr>
        <w:t> de devenir un homme lorsqu'elle avait 16 ans. </w:t>
      </w:r>
    </w:p>
    <w:p w:rsidR="00B93E01" w:rsidRPr="00725503" w:rsidRDefault="00B93E01" w:rsidP="00B93E01">
      <w:pPr>
        <w:jc w:val="both"/>
        <w:rPr>
          <w:rFonts w:ascii="Times New Roman" w:hAnsi="Times New Roman" w:cs="Times New Roman"/>
          <w:sz w:val="24"/>
          <w:szCs w:val="24"/>
          <w:lang w:eastAsia="fr-CA"/>
        </w:rPr>
      </w:pPr>
      <w:r w:rsidRPr="00725503">
        <w:rPr>
          <w:rFonts w:ascii="Times New Roman" w:hAnsi="Times New Roman" w:cs="Times New Roman"/>
          <w:sz w:val="24"/>
          <w:szCs w:val="24"/>
          <w:lang w:eastAsia="fr-CA"/>
        </w:rPr>
        <w:t>Malgré cela, une experte auditionnée dans le cadre du jugement de jeudi dernier à Montréal affirme (alinéa [270]) qu’un professionnel de la santé peut, en quelques secondes, demander à un enfant s’il est transgenre et obtenir une réponse satisfaisante. Comment ne pas être scandalisé par une telle déclaration qui, non seulement contrevient au code d’éthique des psychologues, mais surtout tend à ignorer </w:t>
      </w:r>
      <w:hyperlink r:id="rId9" w:tgtFrame="_blank" w:history="1">
        <w:r w:rsidRPr="00725503">
          <w:rPr>
            <w:rFonts w:ascii="Times New Roman" w:hAnsi="Times New Roman" w:cs="Times New Roman"/>
            <w:sz w:val="24"/>
            <w:szCs w:val="24"/>
            <w:lang w:eastAsia="fr-CA"/>
          </w:rPr>
          <w:t>la myriade de raisons qui peuvent mener un jeune à se dire de l’autre sexe</w:t>
        </w:r>
      </w:hyperlink>
      <w:r w:rsidRPr="00725503">
        <w:rPr>
          <w:rFonts w:ascii="Times New Roman" w:hAnsi="Times New Roman" w:cs="Times New Roman"/>
          <w:sz w:val="24"/>
          <w:szCs w:val="24"/>
          <w:lang w:eastAsia="fr-CA"/>
        </w:rPr>
        <w:t xml:space="preserve">, les facteurs de </w:t>
      </w:r>
      <w:proofErr w:type="spellStart"/>
      <w:r w:rsidRPr="00725503">
        <w:rPr>
          <w:rFonts w:ascii="Times New Roman" w:hAnsi="Times New Roman" w:cs="Times New Roman"/>
          <w:sz w:val="24"/>
          <w:szCs w:val="24"/>
          <w:lang w:eastAsia="fr-CA"/>
        </w:rPr>
        <w:t>co-morbidité</w:t>
      </w:r>
      <w:proofErr w:type="spellEnd"/>
      <w:r w:rsidRPr="00725503">
        <w:rPr>
          <w:rFonts w:ascii="Times New Roman" w:hAnsi="Times New Roman" w:cs="Times New Roman"/>
          <w:sz w:val="24"/>
          <w:szCs w:val="24"/>
          <w:lang w:eastAsia="fr-CA"/>
        </w:rPr>
        <w:t xml:space="preserve"> souvent associés à la dysphorie du genre comme l’autisme ou la dépression, les traumatismes vécus dans l’enfance, ou une homosexualité non assumée? Quelques secondes suffisent pour savoir? Vraiment?</w:t>
      </w:r>
    </w:p>
    <w:p w:rsidR="00B93E01" w:rsidRPr="00725503" w:rsidRDefault="00B93E01" w:rsidP="00B93E01">
      <w:pPr>
        <w:jc w:val="both"/>
        <w:rPr>
          <w:rFonts w:ascii="Times New Roman" w:hAnsi="Times New Roman" w:cs="Times New Roman"/>
          <w:sz w:val="24"/>
          <w:szCs w:val="24"/>
          <w:lang w:eastAsia="fr-CA"/>
        </w:rPr>
      </w:pPr>
      <w:r w:rsidRPr="00725503">
        <w:rPr>
          <w:rFonts w:ascii="Times New Roman" w:hAnsi="Times New Roman" w:cs="Times New Roman"/>
          <w:sz w:val="24"/>
          <w:szCs w:val="24"/>
          <w:lang w:eastAsia="fr-CA"/>
        </w:rPr>
        <w:t>Il est par ailleurs peu sérieux qu’aucun spécialiste de la dysphorie du genre, ni qu’aucun psychothérapeute favorisant une approche de psychologie exploratoire, n’ait été auditionné. Aucune nuance, non plus, n'est faite dans le jugement sur la notion de consentement d'un jeune à changer de sexe, ignorant ainsi le fait que la transition sociale fait partie d’une approche affirmative du genre qui se poursuit généralement par la prise de bloqueurs de puberté, puis d’hormones sexuelles croisées ayant des répercussions médicales sérieuses tout au long de la vie. Le </w:t>
      </w:r>
      <w:hyperlink r:id="rId10" w:tgtFrame="_blank" w:history="1">
        <w:r w:rsidRPr="00725503">
          <w:rPr>
            <w:rFonts w:ascii="Times New Roman" w:hAnsi="Times New Roman" w:cs="Times New Roman"/>
            <w:sz w:val="24"/>
            <w:szCs w:val="24"/>
            <w:lang w:eastAsia="fr-CA"/>
          </w:rPr>
          <w:t>jugement rendu à Londres</w:t>
        </w:r>
      </w:hyperlink>
      <w:r w:rsidRPr="00725503">
        <w:rPr>
          <w:rFonts w:ascii="Times New Roman" w:hAnsi="Times New Roman" w:cs="Times New Roman"/>
          <w:sz w:val="24"/>
          <w:szCs w:val="24"/>
          <w:lang w:eastAsia="fr-CA"/>
        </w:rPr>
        <w:t> indique qu’il est peu probable qu’un enfant de moins de 16 ans puisse donner un consentement éclairé à un traitement aux bloqueurs de puberté.</w:t>
      </w:r>
    </w:p>
    <w:p w:rsidR="00B93E01" w:rsidRPr="00725503" w:rsidRDefault="00B93E01" w:rsidP="00B93E01">
      <w:pPr>
        <w:jc w:val="both"/>
        <w:rPr>
          <w:rFonts w:ascii="Times New Roman" w:hAnsi="Times New Roman" w:cs="Times New Roman"/>
          <w:sz w:val="24"/>
          <w:szCs w:val="24"/>
          <w:lang w:eastAsia="fr-CA"/>
        </w:rPr>
      </w:pPr>
      <w:r w:rsidRPr="00725503">
        <w:rPr>
          <w:rFonts w:ascii="Times New Roman" w:hAnsi="Times New Roman" w:cs="Times New Roman"/>
          <w:sz w:val="24"/>
          <w:szCs w:val="24"/>
          <w:lang w:eastAsia="fr-CA"/>
        </w:rPr>
        <w:t xml:space="preserve">En raison de ces graves déficiences qui minent la possibilité d’un consensus vraiment éclairé face à ce jugement aux lourdes conséquences, nous, collectif de parents, demandons </w:t>
      </w:r>
      <w:r w:rsidRPr="00725503">
        <w:rPr>
          <w:rFonts w:ascii="Times New Roman" w:hAnsi="Times New Roman" w:cs="Times New Roman"/>
          <w:sz w:val="24"/>
          <w:szCs w:val="24"/>
          <w:lang w:eastAsia="fr-CA"/>
        </w:rPr>
        <w:lastRenderedPageBreak/>
        <w:t>instamment au gouvernement d’y faire appel afin de mieux protéger le bien-être de nos jeunes, et de défendre les droits des femmes ainsi que l’égalité des sexes.</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Nadia El-Mabrouk</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Centre de service scolaire (CSS) de Montréal</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Mélanie Audet</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des Samares</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Stéphanie Baron</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 Montréal</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Philippe Blackburn</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 Montréal</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Cochise Brunet-Trait</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des trois lacs</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Dominique Caron</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 l’Énergie</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Shirley Christensen Côté</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des Découvreurs</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 xml:space="preserve">François </w:t>
      </w:r>
      <w:proofErr w:type="spellStart"/>
      <w:r w:rsidRPr="00725503">
        <w:rPr>
          <w:rFonts w:ascii="Times New Roman" w:hAnsi="Times New Roman" w:cs="Times New Roman"/>
          <w:i/>
          <w:iCs/>
          <w:sz w:val="24"/>
          <w:szCs w:val="24"/>
          <w:lang w:eastAsia="fr-CA"/>
        </w:rPr>
        <w:t>Dugré</w:t>
      </w:r>
      <w:proofErr w:type="spellEnd"/>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des Patriotes</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Philippe Dujardin</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 Montréal</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Daniel Gagnon</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des Premières-Seigneuries</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Milène Girard</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Lac-Saint-Jean</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 xml:space="preserve">Ruth </w:t>
      </w:r>
      <w:proofErr w:type="spellStart"/>
      <w:r w:rsidRPr="00725503">
        <w:rPr>
          <w:rFonts w:ascii="Times New Roman" w:hAnsi="Times New Roman" w:cs="Times New Roman"/>
          <w:i/>
          <w:iCs/>
          <w:sz w:val="24"/>
          <w:szCs w:val="24"/>
          <w:lang w:eastAsia="fr-CA"/>
        </w:rPr>
        <w:t>Lamontagne</w:t>
      </w:r>
      <w:proofErr w:type="spellEnd"/>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 Montréal</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Christine Lauzon</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Vallée-des-Tisserands</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 xml:space="preserve">Denis </w:t>
      </w:r>
      <w:proofErr w:type="spellStart"/>
      <w:r w:rsidRPr="00725503">
        <w:rPr>
          <w:rFonts w:ascii="Times New Roman" w:hAnsi="Times New Roman" w:cs="Times New Roman"/>
          <w:i/>
          <w:iCs/>
          <w:sz w:val="24"/>
          <w:szCs w:val="24"/>
          <w:lang w:eastAsia="fr-CA"/>
        </w:rPr>
        <w:t>LeBlanc</w:t>
      </w:r>
      <w:proofErr w:type="spellEnd"/>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 Rouyn-Noranda</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Caroline Morgan</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Marie Victorin</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Guillaume Paradis</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des Patriotes</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lastRenderedPageBreak/>
        <w:t xml:space="preserve">Olivia </w:t>
      </w:r>
      <w:proofErr w:type="spellStart"/>
      <w:r w:rsidRPr="00725503">
        <w:rPr>
          <w:rFonts w:ascii="Times New Roman" w:hAnsi="Times New Roman" w:cs="Times New Roman"/>
          <w:i/>
          <w:iCs/>
          <w:sz w:val="24"/>
          <w:szCs w:val="24"/>
          <w:lang w:eastAsia="fr-CA"/>
        </w:rPr>
        <w:t>Pelka</w:t>
      </w:r>
      <w:proofErr w:type="spellEnd"/>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des Samares</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Ginette Pelletier</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 xml:space="preserve">CSS de la </w:t>
      </w:r>
      <w:proofErr w:type="spellStart"/>
      <w:r w:rsidRPr="00725503">
        <w:rPr>
          <w:rFonts w:ascii="Times New Roman" w:hAnsi="Times New Roman" w:cs="Times New Roman"/>
          <w:i/>
          <w:iCs/>
          <w:sz w:val="24"/>
          <w:szCs w:val="24"/>
          <w:lang w:eastAsia="fr-CA"/>
        </w:rPr>
        <w:t>Pointe-de-l'Île</w:t>
      </w:r>
      <w:proofErr w:type="spellEnd"/>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Bertrand Plante</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des Premières-Seigneuries</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 xml:space="preserve">Sylvain </w:t>
      </w:r>
      <w:proofErr w:type="spellStart"/>
      <w:r w:rsidRPr="00725503">
        <w:rPr>
          <w:rFonts w:ascii="Times New Roman" w:hAnsi="Times New Roman" w:cs="Times New Roman"/>
          <w:i/>
          <w:iCs/>
          <w:sz w:val="24"/>
          <w:szCs w:val="24"/>
          <w:lang w:eastAsia="fr-CA"/>
        </w:rPr>
        <w:t>Plourde</w:t>
      </w:r>
      <w:proofErr w:type="spellEnd"/>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 xml:space="preserve">CSS de la </w:t>
      </w:r>
      <w:proofErr w:type="spellStart"/>
      <w:r w:rsidRPr="00725503">
        <w:rPr>
          <w:rFonts w:ascii="Times New Roman" w:hAnsi="Times New Roman" w:cs="Times New Roman"/>
          <w:i/>
          <w:iCs/>
          <w:sz w:val="24"/>
          <w:szCs w:val="24"/>
          <w:lang w:eastAsia="fr-CA"/>
        </w:rPr>
        <w:t>Pointe-de-l'Île</w:t>
      </w:r>
      <w:proofErr w:type="spellEnd"/>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Christian Sabourin</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 Montréal</w:t>
      </w:r>
    </w:p>
    <w:p w:rsidR="00B93E01" w:rsidRPr="00725503" w:rsidRDefault="00B93E01" w:rsidP="00725503">
      <w:pPr>
        <w:rPr>
          <w:rFonts w:ascii="Times New Roman" w:hAnsi="Times New Roman" w:cs="Times New Roman"/>
          <w:sz w:val="24"/>
          <w:szCs w:val="24"/>
          <w:lang w:eastAsia="fr-CA"/>
        </w:rPr>
      </w:pPr>
      <w:r w:rsidRPr="00725503">
        <w:rPr>
          <w:rFonts w:ascii="Times New Roman" w:hAnsi="Times New Roman" w:cs="Times New Roman"/>
          <w:i/>
          <w:iCs/>
          <w:sz w:val="24"/>
          <w:szCs w:val="24"/>
          <w:lang w:eastAsia="fr-CA"/>
        </w:rPr>
        <w:t>Stéphane Tremblay</w:t>
      </w:r>
      <w:r w:rsidRPr="00725503">
        <w:rPr>
          <w:rFonts w:ascii="Times New Roman" w:hAnsi="Times New Roman" w:cs="Times New Roman"/>
          <w:sz w:val="24"/>
          <w:szCs w:val="24"/>
          <w:lang w:eastAsia="fr-CA"/>
        </w:rPr>
        <w:br/>
      </w:r>
      <w:r w:rsidRPr="00725503">
        <w:rPr>
          <w:rFonts w:ascii="Times New Roman" w:hAnsi="Times New Roman" w:cs="Times New Roman"/>
          <w:i/>
          <w:iCs/>
          <w:sz w:val="24"/>
          <w:szCs w:val="24"/>
          <w:lang w:eastAsia="fr-CA"/>
        </w:rPr>
        <w:t>CSS des Hautes-Rivières</w:t>
      </w:r>
    </w:p>
    <w:p w:rsidR="002D5313" w:rsidRPr="00725503" w:rsidRDefault="002D5313" w:rsidP="00725503">
      <w:pPr>
        <w:rPr>
          <w:rFonts w:ascii="Times New Roman" w:hAnsi="Times New Roman" w:cs="Times New Roman"/>
          <w:sz w:val="24"/>
          <w:szCs w:val="24"/>
        </w:rPr>
      </w:pPr>
    </w:p>
    <w:sectPr w:rsidR="002D5313" w:rsidRPr="0072550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D7769D"/>
    <w:multiLevelType w:val="multilevel"/>
    <w:tmpl w:val="4816C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32475E"/>
    <w:multiLevelType w:val="multilevel"/>
    <w:tmpl w:val="46D84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CC7925"/>
    <w:multiLevelType w:val="multilevel"/>
    <w:tmpl w:val="B0AEB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421C8F"/>
    <w:multiLevelType w:val="multilevel"/>
    <w:tmpl w:val="A2540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4C3AA3"/>
    <w:multiLevelType w:val="multilevel"/>
    <w:tmpl w:val="7D801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DE049B4"/>
    <w:multiLevelType w:val="multilevel"/>
    <w:tmpl w:val="9B26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0"/>
  </w:num>
  <w:num w:numId="4">
    <w:abstractNumId w:val="2"/>
  </w:num>
  <w:num w:numId="5">
    <w:abstractNumId w:val="3"/>
  </w:num>
  <w:num w:numId="6">
    <w:abstractNumId w:val="5"/>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E01"/>
    <w:rsid w:val="002D5313"/>
    <w:rsid w:val="00725503"/>
    <w:rsid w:val="00B93E0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BF3FD"/>
  <w15:chartTrackingRefBased/>
  <w15:docId w15:val="{7E6EFD3E-89E5-4CAE-A166-CE938C196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1">
    <w:name w:val="heading 1"/>
    <w:basedOn w:val="Normal"/>
    <w:link w:val="Titre1Car"/>
    <w:uiPriority w:val="9"/>
    <w:qFormat/>
    <w:rsid w:val="00B93E0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93E01"/>
    <w:rPr>
      <w:rFonts w:ascii="Times New Roman" w:eastAsia="Times New Roman" w:hAnsi="Times New Roman" w:cs="Times New Roman"/>
      <w:b/>
      <w:bCs/>
      <w:kern w:val="36"/>
      <w:sz w:val="48"/>
      <w:szCs w:val="48"/>
      <w:lang w:eastAsia="fr-CA"/>
    </w:rPr>
  </w:style>
  <w:style w:type="paragraph" w:customStyle="1" w:styleId="icn">
    <w:name w:val="icn"/>
    <w:basedOn w:val="Normal"/>
    <w:rsid w:val="00B93E01"/>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nmbrs">
    <w:name w:val="nmbrs"/>
    <w:basedOn w:val="Normal"/>
    <w:rsid w:val="00B93E01"/>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txt">
    <w:name w:val="txt"/>
    <w:basedOn w:val="Normal"/>
    <w:rsid w:val="00B93E01"/>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pt">
    <w:name w:val="pt"/>
    <w:basedOn w:val="Normal"/>
    <w:rsid w:val="00B93E01"/>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rt">
    <w:name w:val="rt"/>
    <w:basedOn w:val="Normal"/>
    <w:rsid w:val="00B93E01"/>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in">
    <w:name w:val="in"/>
    <w:basedOn w:val="Normal"/>
    <w:rsid w:val="00B93E01"/>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styleId="NormalWeb">
    <w:name w:val="Normal (Web)"/>
    <w:basedOn w:val="Normal"/>
    <w:uiPriority w:val="99"/>
    <w:semiHidden/>
    <w:unhideWhenUsed/>
    <w:rsid w:val="00B93E01"/>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lev">
    <w:name w:val="Strong"/>
    <w:basedOn w:val="Policepardfaut"/>
    <w:uiPriority w:val="22"/>
    <w:qFormat/>
    <w:rsid w:val="00B93E01"/>
    <w:rPr>
      <w:b/>
      <w:bCs/>
    </w:rPr>
  </w:style>
  <w:style w:type="character" w:styleId="Accentuation">
    <w:name w:val="Emphasis"/>
    <w:basedOn w:val="Policepardfaut"/>
    <w:uiPriority w:val="20"/>
    <w:qFormat/>
    <w:rsid w:val="00B93E0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0116677">
      <w:bodyDiv w:val="1"/>
      <w:marLeft w:val="0"/>
      <w:marRight w:val="0"/>
      <w:marTop w:val="0"/>
      <w:marBottom w:val="0"/>
      <w:divBdr>
        <w:top w:val="none" w:sz="0" w:space="0" w:color="auto"/>
        <w:left w:val="none" w:sz="0" w:space="0" w:color="auto"/>
        <w:bottom w:val="none" w:sz="0" w:space="0" w:color="auto"/>
        <w:right w:val="none" w:sz="0" w:space="0" w:color="auto"/>
      </w:divBdr>
      <w:divsChild>
        <w:div w:id="2021660451">
          <w:marLeft w:val="0"/>
          <w:marRight w:val="0"/>
          <w:marTop w:val="0"/>
          <w:marBottom w:val="0"/>
          <w:divBdr>
            <w:top w:val="none" w:sz="0" w:space="0" w:color="auto"/>
            <w:left w:val="none" w:sz="0" w:space="0" w:color="auto"/>
            <w:bottom w:val="none" w:sz="0" w:space="0" w:color="auto"/>
            <w:right w:val="none" w:sz="0" w:space="0" w:color="auto"/>
          </w:divBdr>
          <w:divsChild>
            <w:div w:id="890699836">
              <w:marLeft w:val="0"/>
              <w:marRight w:val="0"/>
              <w:marTop w:val="0"/>
              <w:marBottom w:val="0"/>
              <w:divBdr>
                <w:top w:val="none" w:sz="0" w:space="0" w:color="auto"/>
                <w:left w:val="none" w:sz="0" w:space="0" w:color="auto"/>
                <w:bottom w:val="none" w:sz="0" w:space="0" w:color="auto"/>
                <w:right w:val="none" w:sz="0" w:space="0" w:color="auto"/>
              </w:divBdr>
              <w:divsChild>
                <w:div w:id="1937784541">
                  <w:marLeft w:val="0"/>
                  <w:marRight w:val="0"/>
                  <w:marTop w:val="120"/>
                  <w:marBottom w:val="120"/>
                  <w:divBdr>
                    <w:top w:val="none" w:sz="0" w:space="0" w:color="auto"/>
                    <w:left w:val="none" w:sz="0" w:space="0" w:color="auto"/>
                    <w:bottom w:val="none" w:sz="0" w:space="0" w:color="auto"/>
                    <w:right w:val="none" w:sz="0" w:space="0" w:color="auto"/>
                  </w:divBdr>
                  <w:divsChild>
                    <w:div w:id="8145052">
                      <w:marLeft w:val="0"/>
                      <w:marRight w:val="0"/>
                      <w:marTop w:val="0"/>
                      <w:marBottom w:val="0"/>
                      <w:divBdr>
                        <w:top w:val="none" w:sz="0" w:space="0" w:color="auto"/>
                        <w:left w:val="none" w:sz="0" w:space="0" w:color="auto"/>
                        <w:bottom w:val="none" w:sz="0" w:space="0" w:color="auto"/>
                        <w:right w:val="none" w:sz="0" w:space="0" w:color="auto"/>
                      </w:divBdr>
                    </w:div>
                    <w:div w:id="1410955773">
                      <w:marLeft w:val="0"/>
                      <w:marRight w:val="0"/>
                      <w:marTop w:val="0"/>
                      <w:marBottom w:val="0"/>
                      <w:divBdr>
                        <w:top w:val="none" w:sz="0" w:space="0" w:color="auto"/>
                        <w:left w:val="none" w:sz="0" w:space="0" w:color="auto"/>
                        <w:bottom w:val="none" w:sz="0" w:space="0" w:color="auto"/>
                        <w:right w:val="none" w:sz="0" w:space="0" w:color="auto"/>
                      </w:divBdr>
                    </w:div>
                    <w:div w:id="95879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014762">
          <w:marLeft w:val="0"/>
          <w:marRight w:val="0"/>
          <w:marTop w:val="0"/>
          <w:marBottom w:val="0"/>
          <w:divBdr>
            <w:top w:val="none" w:sz="0" w:space="0" w:color="auto"/>
            <w:left w:val="none" w:sz="0" w:space="0" w:color="auto"/>
            <w:bottom w:val="none" w:sz="0" w:space="0" w:color="auto"/>
            <w:right w:val="none" w:sz="0" w:space="0" w:color="auto"/>
          </w:divBdr>
          <w:divsChild>
            <w:div w:id="447702823">
              <w:marLeft w:val="0"/>
              <w:marRight w:val="0"/>
              <w:marTop w:val="0"/>
              <w:marBottom w:val="0"/>
              <w:divBdr>
                <w:top w:val="none" w:sz="0" w:space="0" w:color="auto"/>
                <w:left w:val="none" w:sz="0" w:space="0" w:color="auto"/>
                <w:bottom w:val="none" w:sz="0" w:space="0" w:color="auto"/>
                <w:right w:val="none" w:sz="0" w:space="0" w:color="auto"/>
              </w:divBdr>
              <w:divsChild>
                <w:div w:id="20327644">
                  <w:marLeft w:val="0"/>
                  <w:marRight w:val="0"/>
                  <w:marTop w:val="0"/>
                  <w:marBottom w:val="0"/>
                  <w:divBdr>
                    <w:top w:val="none" w:sz="0" w:space="0" w:color="auto"/>
                    <w:left w:val="none" w:sz="0" w:space="0" w:color="auto"/>
                    <w:bottom w:val="none" w:sz="0" w:space="0" w:color="auto"/>
                    <w:right w:val="none" w:sz="0" w:space="0" w:color="auto"/>
                  </w:divBdr>
                  <w:divsChild>
                    <w:div w:id="1112288332">
                      <w:marLeft w:val="0"/>
                      <w:marRight w:val="0"/>
                      <w:marTop w:val="0"/>
                      <w:marBottom w:val="0"/>
                      <w:divBdr>
                        <w:top w:val="none" w:sz="0" w:space="0" w:color="auto"/>
                        <w:left w:val="none" w:sz="0" w:space="0" w:color="auto"/>
                        <w:bottom w:val="none" w:sz="0" w:space="0" w:color="auto"/>
                        <w:right w:val="none" w:sz="0" w:space="0" w:color="auto"/>
                      </w:divBdr>
                      <w:divsChild>
                        <w:div w:id="51152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8778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legraph.co.uk/news/2021/01/29/psychiatrists-fear-children-coached-accessing-puberty-blockers/" TargetMode="External"/><Relationship Id="rId3" Type="http://schemas.openxmlformats.org/officeDocument/2006/relationships/settings" Target="settings.xml"/><Relationship Id="rId7" Type="http://schemas.openxmlformats.org/officeDocument/2006/relationships/hyperlink" Target="https://tradfem.wordpress.com/2017/11/13/un-grand-journal-britannique-se-porte-a-la-defense-des-jeunes-contre-les-outrances-du-lobby-transgenr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ink.springer.com/article/10.1007/s10508-020-01844-2" TargetMode="External"/><Relationship Id="rId11" Type="http://schemas.openxmlformats.org/officeDocument/2006/relationships/fontTable" Target="fontTable.xml"/><Relationship Id="rId5" Type="http://schemas.openxmlformats.org/officeDocument/2006/relationships/hyperlink" Target="http://citoyens.soquij.qc.ca/php/decision.php?ID=225E36FCC8017BAA7C3D044849A677BA" TargetMode="External"/><Relationship Id="rId10" Type="http://schemas.openxmlformats.org/officeDocument/2006/relationships/hyperlink" Target="https://www.judiciary.uk/wp-content/uploads/2020/12/Bell-v-Tavistock-Clinic-and-ors-Summary.pdf" TargetMode="External"/><Relationship Id="rId4" Type="http://schemas.openxmlformats.org/officeDocument/2006/relationships/webSettings" Target="webSettings.xml"/><Relationship Id="rId9" Type="http://schemas.openxmlformats.org/officeDocument/2006/relationships/hyperlink" Target="https://sci-hub.do/10.1177/1359104518825288"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1141</Words>
  <Characters>6276</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CLG</Company>
  <LinksUpToDate>false</LinksUpToDate>
  <CharactersWithSpaces>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Chalifour</dc:creator>
  <cp:keywords/>
  <dc:description/>
  <cp:lastModifiedBy>Stéphane Chalifour</cp:lastModifiedBy>
  <cp:revision>2</cp:revision>
  <dcterms:created xsi:type="dcterms:W3CDTF">2021-03-27T15:02:00Z</dcterms:created>
  <dcterms:modified xsi:type="dcterms:W3CDTF">2021-03-27T15:02:00Z</dcterms:modified>
</cp:coreProperties>
</file>