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DCE4" w:themeFill="text2" w:themeFillTint="33"/>
        <w:tblLook w:val="04A0" w:firstRow="1" w:lastRow="0" w:firstColumn="1" w:lastColumn="0" w:noHBand="0" w:noVBand="1"/>
      </w:tblPr>
      <w:tblGrid>
        <w:gridCol w:w="3969"/>
        <w:gridCol w:w="6237"/>
      </w:tblGrid>
      <w:tr w:rsidR="004F10F6" w:rsidTr="000F0E47">
        <w:tc>
          <w:tcPr>
            <w:tcW w:w="3969" w:type="dxa"/>
            <w:shd w:val="clear" w:color="auto" w:fill="auto"/>
            <w:vAlign w:val="center"/>
          </w:tcPr>
          <w:p w:rsidR="004F10F6" w:rsidRPr="005F5AAA" w:rsidRDefault="005F5AAA" w:rsidP="005F5AAA">
            <w:pPr>
              <w:widowControl/>
              <w:suppressAutoHyphens w:val="0"/>
              <w:spacing w:after="0" w:line="240" w:lineRule="auto"/>
              <w:rPr>
                <w:rFonts w:ascii="Century Gothic" w:eastAsia="Kozuka Gothic Pro M" w:hAnsi="Century Gothic" w:cs="Segoe UI"/>
                <w:b/>
                <w:sz w:val="44"/>
                <w:szCs w:val="44"/>
                <w:lang w:eastAsia="fr-CA" w:bidi="ar-SA"/>
              </w:rPr>
            </w:pPr>
            <w:r w:rsidRPr="005F5AAA">
              <w:rPr>
                <w:rFonts w:ascii="Century Gothic" w:eastAsia="Kozuka Gothic Pro M" w:hAnsi="Century Gothic" w:cs="Segoe UI"/>
                <w:b/>
                <w:sz w:val="44"/>
                <w:szCs w:val="44"/>
                <w:lang w:eastAsia="fr-CA" w:bidi="ar-SA"/>
              </w:rPr>
              <w:t>Plan d’action</w:t>
            </w:r>
          </w:p>
        </w:tc>
        <w:tc>
          <w:tcPr>
            <w:tcW w:w="6237" w:type="dxa"/>
            <w:tcBorders>
              <w:left w:val="nil"/>
            </w:tcBorders>
            <w:shd w:val="clear" w:color="auto" w:fill="D5DCE4" w:themeFill="text2" w:themeFillTint="33"/>
          </w:tcPr>
          <w:p w:rsidR="00E36532" w:rsidRDefault="004F10F6" w:rsidP="005F5AAA">
            <w:pPr>
              <w:widowControl/>
              <w:suppressAutoHyphens w:val="0"/>
              <w:spacing w:after="0" w:line="240" w:lineRule="auto"/>
              <w:jc w:val="right"/>
              <w:rPr>
                <w:rFonts w:ascii="Century Gothic" w:eastAsia="Kozuka Gothic Pro M" w:hAnsi="Century Gothic" w:cs="Segoe UI"/>
                <w:b/>
                <w:i/>
                <w:sz w:val="36"/>
                <w:szCs w:val="36"/>
                <w:lang w:eastAsia="fr-CA" w:bidi="ar-SA"/>
              </w:rPr>
            </w:pPr>
            <w:r w:rsidRPr="005F5AAA">
              <w:rPr>
                <w:rFonts w:ascii="Century Gothic" w:eastAsia="Kozuka Gothic Pro M" w:hAnsi="Century Gothic" w:cs="Segoe UI"/>
                <w:b/>
                <w:i/>
                <w:sz w:val="36"/>
                <w:szCs w:val="36"/>
                <w:lang w:eastAsia="fr-CA" w:bidi="ar-SA"/>
              </w:rPr>
              <w:t>p</w:t>
            </w:r>
            <w:r w:rsidR="00E36532">
              <w:rPr>
                <w:rFonts w:ascii="Century Gothic" w:eastAsia="Kozuka Gothic Pro M" w:hAnsi="Century Gothic" w:cs="Segoe UI"/>
                <w:b/>
                <w:i/>
                <w:sz w:val="36"/>
                <w:szCs w:val="36"/>
                <w:lang w:eastAsia="fr-CA" w:bidi="ar-SA"/>
              </w:rPr>
              <w:t>our le maintien du DEC national</w:t>
            </w:r>
          </w:p>
          <w:p w:rsidR="004F10F6" w:rsidRPr="005F5AAA" w:rsidRDefault="00E36532" w:rsidP="00E36532">
            <w:pPr>
              <w:widowControl/>
              <w:suppressAutoHyphens w:val="0"/>
              <w:spacing w:before="60" w:after="0" w:line="240" w:lineRule="auto"/>
              <w:jc w:val="right"/>
              <w:rPr>
                <w:rFonts w:ascii="Century Gothic" w:eastAsia="Kozuka Gothic Pro M" w:hAnsi="Century Gothic" w:cs="Segoe UI"/>
                <w:b/>
                <w:i/>
                <w:sz w:val="36"/>
                <w:szCs w:val="36"/>
                <w:lang w:eastAsia="fr-CA" w:bidi="ar-SA"/>
              </w:rPr>
            </w:pPr>
            <w:r>
              <w:rPr>
                <w:rFonts w:ascii="Century Gothic" w:eastAsia="Kozuka Gothic Pro M" w:hAnsi="Century Gothic" w:cs="Segoe UI"/>
                <w:b/>
                <w:i/>
                <w:sz w:val="36"/>
                <w:szCs w:val="36"/>
                <w:lang w:eastAsia="fr-CA" w:bidi="ar-SA"/>
              </w:rPr>
              <w:t>en S</w:t>
            </w:r>
            <w:r w:rsidR="004F10F6" w:rsidRPr="005F5AAA">
              <w:rPr>
                <w:rFonts w:ascii="Century Gothic" w:eastAsia="Kozuka Gothic Pro M" w:hAnsi="Century Gothic" w:cs="Segoe UI"/>
                <w:b/>
                <w:i/>
                <w:sz w:val="36"/>
                <w:szCs w:val="36"/>
                <w:lang w:eastAsia="fr-CA" w:bidi="ar-SA"/>
              </w:rPr>
              <w:t>cience</w:t>
            </w:r>
            <w:r>
              <w:rPr>
                <w:rFonts w:ascii="Century Gothic" w:eastAsia="Kozuka Gothic Pro M" w:hAnsi="Century Gothic" w:cs="Segoe UI"/>
                <w:b/>
                <w:i/>
                <w:sz w:val="36"/>
                <w:szCs w:val="36"/>
                <w:lang w:eastAsia="fr-CA" w:bidi="ar-SA"/>
              </w:rPr>
              <w:t>s</w:t>
            </w:r>
            <w:r w:rsidR="004F10F6" w:rsidRPr="005F5AAA">
              <w:rPr>
                <w:rFonts w:ascii="Century Gothic" w:eastAsia="Kozuka Gothic Pro M" w:hAnsi="Century Gothic" w:cs="Segoe UI"/>
                <w:b/>
                <w:i/>
                <w:sz w:val="36"/>
                <w:szCs w:val="36"/>
                <w:lang w:eastAsia="fr-CA" w:bidi="ar-SA"/>
              </w:rPr>
              <w:t xml:space="preserve"> de la nature</w:t>
            </w:r>
          </w:p>
        </w:tc>
      </w:tr>
    </w:tbl>
    <w:p w:rsidR="001F70F7" w:rsidRDefault="005F5AAA" w:rsidP="0091464E">
      <w:pPr>
        <w:widowControl/>
        <w:tabs>
          <w:tab w:val="left" w:pos="0"/>
        </w:tabs>
        <w:suppressAutoHyphens w:val="0"/>
        <w:spacing w:after="0" w:line="240" w:lineRule="auto"/>
        <w:rPr>
          <w:rFonts w:asciiTheme="minorHAnsi" w:eastAsia="Kozuka Gothic Pro M" w:hAnsiTheme="minorHAnsi" w:cstheme="minorHAnsi"/>
          <w:b/>
          <w:sz w:val="22"/>
          <w:szCs w:val="22"/>
          <w:lang w:eastAsia="fr-CA" w:bidi="ar-SA"/>
        </w:rPr>
      </w:pPr>
      <w:r w:rsidRPr="004F10F6">
        <w:rPr>
          <w:rFonts w:asciiTheme="minorHAnsi" w:eastAsia="Kozuka Gothic Pro M" w:hAnsiTheme="minorHAnsi" w:cs="Segoe UI"/>
          <w:b/>
          <w:noProof/>
          <w:color w:val="002060"/>
          <w:sz w:val="44"/>
          <w:szCs w:val="44"/>
          <w:lang w:eastAsia="fr-CA" w:bidi="ar-SA"/>
        </w:rPr>
        <w:drawing>
          <wp:anchor distT="0" distB="0" distL="114300" distR="114300" simplePos="0" relativeHeight="251659264" behindDoc="0" locked="0" layoutInCell="1" allowOverlap="1" wp14:anchorId="65415D48" wp14:editId="17A48846">
            <wp:simplePos x="0" y="0"/>
            <wp:positionH relativeFrom="margin">
              <wp:posOffset>22860</wp:posOffset>
            </wp:positionH>
            <wp:positionV relativeFrom="paragraph">
              <wp:posOffset>-1039404</wp:posOffset>
            </wp:positionV>
            <wp:extent cx="1224951" cy="38135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NEEQ transparen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4951" cy="381353"/>
                    </a:xfrm>
                    <a:prstGeom prst="rect">
                      <a:avLst/>
                    </a:prstGeom>
                  </pic:spPr>
                </pic:pic>
              </a:graphicData>
            </a:graphic>
            <wp14:sizeRelH relativeFrom="page">
              <wp14:pctWidth>0</wp14:pctWidth>
            </wp14:sizeRelH>
            <wp14:sizeRelV relativeFrom="page">
              <wp14:pctHeight>0</wp14:pctHeight>
            </wp14:sizeRelV>
          </wp:anchor>
        </w:drawing>
      </w:r>
    </w:p>
    <w:p w:rsidR="0091464E" w:rsidRPr="00E36532" w:rsidRDefault="00C74516" w:rsidP="00D84204">
      <w:pPr>
        <w:widowControl/>
        <w:tabs>
          <w:tab w:val="left" w:pos="0"/>
        </w:tabs>
        <w:suppressAutoHyphens w:val="0"/>
        <w:spacing w:after="240" w:line="240" w:lineRule="auto"/>
        <w:rPr>
          <w:rFonts w:asciiTheme="minorHAnsi" w:eastAsia="Kozuka Gothic Pro M" w:hAnsiTheme="minorHAnsi" w:cstheme="minorHAnsi"/>
          <w:b/>
          <w:lang w:eastAsia="fr-CA" w:bidi="ar-SA"/>
        </w:rPr>
      </w:pPr>
      <w:r w:rsidRPr="00E36532">
        <w:rPr>
          <w:rFonts w:asciiTheme="minorHAnsi" w:eastAsia="Kozuka Gothic Pro M" w:hAnsiTheme="minorHAnsi" w:cstheme="minorHAnsi"/>
          <w:b/>
          <w:lang w:eastAsia="fr-CA" w:bidi="ar-SA"/>
        </w:rPr>
        <w:t xml:space="preserve">Afin </w:t>
      </w:r>
      <w:r w:rsidR="005A6F31" w:rsidRPr="00E36532">
        <w:rPr>
          <w:rFonts w:asciiTheme="minorHAnsi" w:eastAsia="Kozuka Gothic Pro M" w:hAnsiTheme="minorHAnsi" w:cstheme="minorHAnsi"/>
          <w:b/>
          <w:lang w:eastAsia="fr-CA" w:bidi="ar-SA"/>
        </w:rPr>
        <w:t xml:space="preserve">de maintenir le caractère national du </w:t>
      </w:r>
      <w:r w:rsidR="00E36532">
        <w:rPr>
          <w:rFonts w:asciiTheme="minorHAnsi" w:eastAsia="Kozuka Gothic Pro M" w:hAnsiTheme="minorHAnsi" w:cstheme="minorHAnsi"/>
          <w:b/>
          <w:lang w:eastAsia="fr-CA" w:bidi="ar-SA"/>
        </w:rPr>
        <w:t>DEC en S</w:t>
      </w:r>
      <w:r w:rsidRPr="00E36532">
        <w:rPr>
          <w:rFonts w:asciiTheme="minorHAnsi" w:eastAsia="Kozuka Gothic Pro M" w:hAnsiTheme="minorHAnsi" w:cstheme="minorHAnsi"/>
          <w:b/>
          <w:lang w:eastAsia="fr-CA" w:bidi="ar-SA"/>
        </w:rPr>
        <w:t>ciences de la na</w:t>
      </w:r>
      <w:r w:rsidR="00473924" w:rsidRPr="00E36532">
        <w:rPr>
          <w:rFonts w:asciiTheme="minorHAnsi" w:eastAsia="Kozuka Gothic Pro M" w:hAnsiTheme="minorHAnsi" w:cstheme="minorHAnsi"/>
          <w:b/>
          <w:lang w:eastAsia="fr-CA" w:bidi="ar-SA"/>
        </w:rPr>
        <w:t>ture, les emplois et l</w:t>
      </w:r>
      <w:r w:rsidR="00473924" w:rsidRPr="00E36532">
        <w:rPr>
          <w:rFonts w:asciiTheme="minorHAnsi" w:hAnsiTheme="minorHAnsi" w:cstheme="majorHAnsi"/>
          <w:b/>
        </w:rPr>
        <w:t>a mobilité étudiante et l’accès aux universités sans distinction</w:t>
      </w:r>
      <w:r w:rsidRPr="00E36532">
        <w:rPr>
          <w:rFonts w:asciiTheme="minorHAnsi" w:eastAsia="Kozuka Gothic Pro M" w:hAnsiTheme="minorHAnsi" w:cstheme="minorHAnsi"/>
          <w:b/>
          <w:lang w:eastAsia="fr-CA" w:bidi="ar-SA"/>
        </w:rPr>
        <w:t>, il est proposé</w:t>
      </w:r>
      <w:bookmarkStart w:id="0" w:name="ppt"/>
      <w:bookmarkEnd w:id="0"/>
      <w:r w:rsidRPr="00E36532">
        <w:rPr>
          <w:rFonts w:asciiTheme="minorHAnsi" w:eastAsia="Kozuka Gothic Pro M" w:hAnsiTheme="minorHAnsi" w:cstheme="minorHAnsi"/>
          <w:b/>
          <w:lang w:eastAsia="fr-CA" w:bidi="ar-SA"/>
        </w:rPr>
        <w:t> :</w:t>
      </w:r>
      <w:r w:rsidR="0091464E" w:rsidRPr="00E36532">
        <w:rPr>
          <w:rFonts w:asciiTheme="minorHAnsi" w:eastAsia="Kozuka Gothic Pro M" w:hAnsiTheme="minorHAnsi" w:cstheme="minorHAnsi"/>
          <w:b/>
          <w:lang w:eastAsia="fr-CA" w:bidi="ar-SA"/>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360"/>
      </w:tblGrid>
      <w:tr w:rsidR="0096637B" w:rsidTr="00D84204">
        <w:tc>
          <w:tcPr>
            <w:tcW w:w="846" w:type="dxa"/>
            <w:tcBorders>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1</w:t>
            </w:r>
          </w:p>
        </w:tc>
        <w:tc>
          <w:tcPr>
            <w:tcW w:w="9360" w:type="dxa"/>
            <w:tcBorders>
              <w:bottom w:val="single" w:sz="4" w:space="0" w:color="D5DCE4" w:themeColor="text2" w:themeTint="33"/>
            </w:tcBorders>
          </w:tcPr>
          <w:p w:rsidR="00BA054C" w:rsidRPr="006B773E" w:rsidRDefault="0096637B" w:rsidP="00D84204">
            <w:pPr>
              <w:spacing w:before="120" w:after="120" w:line="240" w:lineRule="auto"/>
              <w:ind w:left="180"/>
              <w:jc w:val="both"/>
              <w:rPr>
                <w:rFonts w:asciiTheme="minorHAnsi" w:hAnsiTheme="minorHAnsi" w:cs="Cordia New"/>
                <w:sz w:val="22"/>
                <w:szCs w:val="22"/>
              </w:rPr>
            </w:pPr>
            <w:r w:rsidRPr="0096637B">
              <w:rPr>
                <w:rFonts w:asciiTheme="minorHAnsi" w:hAnsiTheme="minorHAnsi" w:cs="Cordia New"/>
                <w:sz w:val="22"/>
                <w:szCs w:val="22"/>
              </w:rPr>
              <w:t>Que le regroupement cé</w:t>
            </w:r>
            <w:r w:rsidRPr="0059609B">
              <w:rPr>
                <w:rFonts w:asciiTheme="minorHAnsi" w:hAnsiTheme="minorHAnsi" w:cs="Cordia New"/>
                <w:sz w:val="22"/>
                <w:szCs w:val="22"/>
              </w:rPr>
              <w:t>gep</w:t>
            </w:r>
            <w:r w:rsidR="0059609B" w:rsidRPr="0059609B">
              <w:rPr>
                <w:rFonts w:asciiTheme="minorHAnsi" w:hAnsiTheme="minorHAnsi" w:cs="Cordia New"/>
                <w:sz w:val="22"/>
                <w:szCs w:val="22"/>
              </w:rPr>
              <w:t xml:space="preserve"> exige</w:t>
            </w:r>
            <w:r w:rsidRPr="0059609B">
              <w:rPr>
                <w:rFonts w:asciiTheme="minorHAnsi" w:hAnsiTheme="minorHAnsi" w:cs="Cordia New"/>
                <w:sz w:val="22"/>
                <w:szCs w:val="22"/>
              </w:rPr>
              <w:t xml:space="preserve">, sur les plans national et local, un moratoire sur </w:t>
            </w:r>
            <w:r w:rsidR="00657CEA" w:rsidRPr="0059609B">
              <w:rPr>
                <w:rFonts w:asciiTheme="minorHAnsi" w:hAnsiTheme="minorHAnsi" w:cs="Cordia New"/>
                <w:sz w:val="22"/>
                <w:szCs w:val="22"/>
              </w:rPr>
              <w:t xml:space="preserve">l’autorisation et sur </w:t>
            </w:r>
            <w:r w:rsidRPr="0059609B">
              <w:rPr>
                <w:rFonts w:asciiTheme="minorHAnsi" w:hAnsiTheme="minorHAnsi" w:cs="Cordia New"/>
                <w:sz w:val="22"/>
                <w:szCs w:val="22"/>
              </w:rPr>
              <w:t xml:space="preserve">l’implantation </w:t>
            </w:r>
            <w:r w:rsidR="00312EF1" w:rsidRPr="0059609B">
              <w:rPr>
                <w:rFonts w:asciiTheme="minorHAnsi" w:hAnsiTheme="minorHAnsi" w:cs="Cordia New"/>
                <w:sz w:val="22"/>
                <w:szCs w:val="22"/>
              </w:rPr>
              <w:t xml:space="preserve"> </w:t>
            </w:r>
            <w:r w:rsidRPr="0059609B">
              <w:rPr>
                <w:rFonts w:asciiTheme="minorHAnsi" w:hAnsiTheme="minorHAnsi" w:cs="Cordia New"/>
                <w:sz w:val="22"/>
                <w:szCs w:val="22"/>
              </w:rPr>
              <w:t xml:space="preserve">du programme </w:t>
            </w:r>
            <w:r w:rsidR="00F96D77" w:rsidRPr="0059609B">
              <w:rPr>
                <w:rFonts w:asciiTheme="minorHAnsi" w:hAnsiTheme="minorHAnsi" w:cs="Cordia New"/>
                <w:sz w:val="22"/>
                <w:szCs w:val="22"/>
              </w:rPr>
              <w:t>d’études révisé de S</w:t>
            </w:r>
            <w:r w:rsidRPr="0059609B">
              <w:rPr>
                <w:rFonts w:asciiTheme="minorHAnsi" w:hAnsiTheme="minorHAnsi" w:cs="Cordia New"/>
                <w:sz w:val="22"/>
                <w:szCs w:val="22"/>
              </w:rPr>
              <w:t xml:space="preserve">ciences de la nature afin de </w:t>
            </w:r>
            <w:r w:rsidR="00FF190B" w:rsidRPr="0059609B">
              <w:rPr>
                <w:rFonts w:asciiTheme="minorHAnsi" w:hAnsiTheme="minorHAnsi" w:cs="Cordia New"/>
                <w:sz w:val="22"/>
                <w:szCs w:val="22"/>
              </w:rPr>
              <w:t xml:space="preserve">contrer </w:t>
            </w:r>
            <w:r w:rsidR="00FF190B" w:rsidRPr="0059609B">
              <w:rPr>
                <w:rFonts w:asciiTheme="minorHAnsi" w:eastAsia="Calibri" w:hAnsiTheme="minorHAnsi" w:cs="Times New Roman"/>
                <w:sz w:val="22"/>
                <w:szCs w:val="22"/>
                <w:lang w:eastAsia="en-US" w:bidi="ar-SA"/>
              </w:rPr>
              <w:t xml:space="preserve">la perte du caractère national du DEC et de corriger </w:t>
            </w:r>
            <w:r w:rsidR="008F6AB6" w:rsidRPr="00CB5C47">
              <w:rPr>
                <w:rFonts w:asciiTheme="minorHAnsi" w:eastAsia="Calibri" w:hAnsiTheme="minorHAnsi" w:cs="Times New Roman"/>
                <w:sz w:val="22"/>
                <w:szCs w:val="22"/>
                <w:lang w:eastAsia="en-US" w:bidi="ar-SA"/>
              </w:rPr>
              <w:t>les importants problèmes</w:t>
            </w:r>
            <w:r w:rsidR="00427CF3">
              <w:rPr>
                <w:rFonts w:asciiTheme="minorHAnsi" w:eastAsia="Calibri" w:hAnsiTheme="minorHAnsi" w:cs="Times New Roman"/>
                <w:sz w:val="22"/>
                <w:szCs w:val="22"/>
                <w:lang w:eastAsia="en-US" w:bidi="ar-SA"/>
              </w:rPr>
              <w:t>,</w:t>
            </w:r>
            <w:r w:rsidR="008F6AB6" w:rsidRPr="00CB5C47">
              <w:rPr>
                <w:rFonts w:asciiTheme="minorHAnsi" w:eastAsia="Calibri" w:hAnsiTheme="minorHAnsi" w:cs="Times New Roman"/>
                <w:sz w:val="22"/>
                <w:szCs w:val="22"/>
                <w:lang w:eastAsia="en-US" w:bidi="ar-SA"/>
              </w:rPr>
              <w:t xml:space="preserve"> </w:t>
            </w:r>
            <w:r w:rsidR="00FF190B" w:rsidRPr="0059609B">
              <w:rPr>
                <w:rFonts w:asciiTheme="minorHAnsi" w:eastAsia="Calibri" w:hAnsiTheme="minorHAnsi" w:cs="Times New Roman"/>
                <w:sz w:val="22"/>
                <w:szCs w:val="22"/>
                <w:lang w:eastAsia="en-US" w:bidi="ar-SA"/>
              </w:rPr>
              <w:t>dont ceux causés par l’</w:t>
            </w:r>
            <w:r w:rsidR="00A65E87" w:rsidRPr="0059609B">
              <w:rPr>
                <w:rFonts w:asciiTheme="minorHAnsi" w:eastAsia="Calibri" w:hAnsiTheme="minorHAnsi" w:cs="Times New Roman"/>
                <w:sz w:val="22"/>
                <w:szCs w:val="22"/>
                <w:lang w:eastAsia="en-US" w:bidi="ar-SA"/>
              </w:rPr>
              <w:t>application de l’</w:t>
            </w:r>
            <w:r w:rsidR="00FF190B" w:rsidRPr="0059609B">
              <w:rPr>
                <w:rFonts w:asciiTheme="minorHAnsi" w:eastAsia="Calibri" w:hAnsiTheme="minorHAnsi" w:cs="Times New Roman"/>
                <w:sz w:val="22"/>
                <w:szCs w:val="22"/>
                <w:lang w:eastAsia="en-US" w:bidi="ar-SA"/>
              </w:rPr>
              <w:t>approche par compétence</w:t>
            </w:r>
            <w:r w:rsidR="00A65E87" w:rsidRPr="0059609B">
              <w:rPr>
                <w:rFonts w:asciiTheme="minorHAnsi" w:eastAsia="Calibri" w:hAnsiTheme="minorHAnsi" w:cs="Times New Roman"/>
                <w:sz w:val="22"/>
                <w:szCs w:val="22"/>
                <w:lang w:eastAsia="en-US" w:bidi="ar-SA"/>
              </w:rPr>
              <w:t xml:space="preserve"> dans les programmes préuniversitaires</w:t>
            </w:r>
            <w:r w:rsidR="008F6AB6" w:rsidRPr="00CB5C47">
              <w:rPr>
                <w:rFonts w:asciiTheme="minorHAnsi" w:eastAsia="Calibri" w:hAnsiTheme="minorHAnsi" w:cs="Times New Roman"/>
                <w:sz w:val="22"/>
                <w:szCs w:val="22"/>
                <w:lang w:eastAsia="en-US" w:bidi="ar-SA"/>
              </w:rPr>
              <w:t>. Le délai supplémentaire permettra en outre</w:t>
            </w:r>
            <w:r w:rsidR="00BA054C" w:rsidRPr="0059609B">
              <w:rPr>
                <w:rFonts w:asciiTheme="minorHAnsi" w:hAnsiTheme="minorHAnsi" w:cs="Cordia New"/>
                <w:sz w:val="22"/>
                <w:szCs w:val="22"/>
              </w:rPr>
              <w:t> :</w:t>
            </w:r>
          </w:p>
          <w:p w:rsidR="00BA054C" w:rsidRPr="006B773E" w:rsidRDefault="0096637B" w:rsidP="00D84204">
            <w:pPr>
              <w:pStyle w:val="Paragraphedeliste"/>
              <w:numPr>
                <w:ilvl w:val="0"/>
                <w:numId w:val="4"/>
              </w:numPr>
              <w:spacing w:before="120" w:after="120" w:line="240" w:lineRule="auto"/>
              <w:ind w:left="464"/>
              <w:jc w:val="both"/>
              <w:rPr>
                <w:rFonts w:cs="Cordia New"/>
              </w:rPr>
            </w:pPr>
            <w:r w:rsidRPr="006B773E">
              <w:rPr>
                <w:rFonts w:asciiTheme="minorHAnsi" w:hAnsiTheme="minorHAnsi" w:cs="Cordia New"/>
                <w:sz w:val="22"/>
                <w:szCs w:val="22"/>
              </w:rPr>
              <w:t xml:space="preserve">à toutes les personnes </w:t>
            </w:r>
            <w:r w:rsidR="00657CEA" w:rsidRPr="006B773E">
              <w:rPr>
                <w:rFonts w:asciiTheme="minorHAnsi" w:hAnsiTheme="minorHAnsi" w:cs="Cordia New"/>
                <w:sz w:val="22"/>
                <w:szCs w:val="22"/>
              </w:rPr>
              <w:t xml:space="preserve">et les collectifs </w:t>
            </w:r>
            <w:r w:rsidRPr="006B773E">
              <w:rPr>
                <w:rFonts w:asciiTheme="minorHAnsi" w:hAnsiTheme="minorHAnsi" w:cs="Cordia New"/>
                <w:sz w:val="22"/>
                <w:szCs w:val="22"/>
              </w:rPr>
              <w:t>concernés</w:t>
            </w:r>
            <w:r w:rsidR="00657CEA" w:rsidRPr="006B773E">
              <w:rPr>
                <w:rFonts w:asciiTheme="minorHAnsi" w:hAnsiTheme="minorHAnsi" w:cs="Cordia New"/>
                <w:sz w:val="22"/>
                <w:szCs w:val="22"/>
              </w:rPr>
              <w:t>, notam</w:t>
            </w:r>
            <w:bookmarkStart w:id="1" w:name="_GoBack"/>
            <w:bookmarkEnd w:id="1"/>
            <w:r w:rsidR="00657CEA" w:rsidRPr="006B773E">
              <w:rPr>
                <w:rFonts w:asciiTheme="minorHAnsi" w:hAnsiTheme="minorHAnsi" w:cs="Cordia New"/>
                <w:sz w:val="22"/>
                <w:szCs w:val="22"/>
              </w:rPr>
              <w:t>ment les départements et les comités de programme,</w:t>
            </w:r>
            <w:r w:rsidRPr="006B773E">
              <w:rPr>
                <w:rFonts w:asciiTheme="minorHAnsi" w:hAnsiTheme="minorHAnsi" w:cs="Cordia New"/>
                <w:sz w:val="22"/>
                <w:szCs w:val="22"/>
              </w:rPr>
              <w:t xml:space="preserve"> de faire les analyses nécessaires</w:t>
            </w:r>
            <w:r w:rsidR="00657CEA" w:rsidRPr="006B773E">
              <w:rPr>
                <w:rFonts w:asciiTheme="minorHAnsi" w:hAnsiTheme="minorHAnsi" w:cs="Cordia New"/>
                <w:sz w:val="22"/>
                <w:szCs w:val="22"/>
              </w:rPr>
              <w:t xml:space="preserve"> à leur pleine participation à la consultation</w:t>
            </w:r>
            <w:r w:rsidR="00BA054C" w:rsidRPr="006B773E">
              <w:rPr>
                <w:rFonts w:asciiTheme="minorHAnsi" w:hAnsiTheme="minorHAnsi" w:cs="Cordia New"/>
                <w:sz w:val="22"/>
                <w:szCs w:val="22"/>
              </w:rPr>
              <w:t xml:space="preserve"> organisée par le ministère, </w:t>
            </w:r>
            <w:r w:rsidR="006B773E" w:rsidRPr="006B773E">
              <w:rPr>
                <w:rFonts w:asciiTheme="minorHAnsi" w:hAnsiTheme="minorHAnsi" w:cs="Cordia New"/>
                <w:sz w:val="22"/>
                <w:szCs w:val="22"/>
              </w:rPr>
              <w:t>incluant la difficile adéquation entre les compétences énoncées et les cours;</w:t>
            </w:r>
          </w:p>
          <w:p w:rsidR="00BA054C" w:rsidRPr="006B773E" w:rsidRDefault="00BA054C" w:rsidP="00D84204">
            <w:pPr>
              <w:pStyle w:val="Paragraphedeliste"/>
              <w:numPr>
                <w:ilvl w:val="0"/>
                <w:numId w:val="4"/>
              </w:numPr>
              <w:spacing w:before="120" w:after="120" w:line="240" w:lineRule="auto"/>
              <w:ind w:left="464"/>
              <w:jc w:val="both"/>
              <w:rPr>
                <w:rFonts w:cs="Cordia New"/>
              </w:rPr>
            </w:pPr>
            <w:r w:rsidRPr="006B773E">
              <w:rPr>
                <w:rFonts w:asciiTheme="minorHAnsi" w:hAnsiTheme="minorHAnsi" w:cs="Cordia New"/>
                <w:sz w:val="22"/>
                <w:szCs w:val="22"/>
              </w:rPr>
              <w:t>au ministère de tenir réellement compte des avis obtenus lors de la consultation</w:t>
            </w:r>
            <w:r w:rsidR="006B773E" w:rsidRPr="006B773E">
              <w:rPr>
                <w:rFonts w:asciiTheme="minorHAnsi" w:hAnsiTheme="minorHAnsi" w:cs="Cordia New"/>
                <w:sz w:val="22"/>
                <w:szCs w:val="22"/>
              </w:rPr>
              <w:t>;</w:t>
            </w:r>
            <w:r w:rsidRPr="006B773E">
              <w:rPr>
                <w:rFonts w:asciiTheme="minorHAnsi" w:hAnsiTheme="minorHAnsi" w:cs="Cordia New"/>
                <w:sz w:val="22"/>
                <w:szCs w:val="22"/>
              </w:rPr>
              <w:t xml:space="preserve"> </w:t>
            </w:r>
          </w:p>
          <w:p w:rsidR="0096637B" w:rsidRPr="00BA054C" w:rsidRDefault="00BA054C" w:rsidP="00D84204">
            <w:pPr>
              <w:pStyle w:val="Paragraphedeliste"/>
              <w:numPr>
                <w:ilvl w:val="0"/>
                <w:numId w:val="4"/>
              </w:numPr>
              <w:spacing w:before="120" w:after="120" w:line="240" w:lineRule="auto"/>
              <w:ind w:left="464"/>
              <w:jc w:val="both"/>
              <w:rPr>
                <w:rFonts w:cs="Cordia New"/>
              </w:rPr>
            </w:pPr>
            <w:r w:rsidRPr="006B773E">
              <w:rPr>
                <w:rFonts w:asciiTheme="minorHAnsi" w:hAnsiTheme="minorHAnsi" w:cs="Cordia New"/>
                <w:sz w:val="22"/>
                <w:szCs w:val="22"/>
              </w:rPr>
              <w:t>et, éventuellement, de faire le travail local qu’imposera la révision du programme</w:t>
            </w:r>
            <w:r w:rsidR="0096637B" w:rsidRPr="00BA054C">
              <w:rPr>
                <w:rFonts w:asciiTheme="minorHAnsi" w:hAnsiTheme="minorHAnsi" w:cs="Cordia New"/>
                <w:sz w:val="22"/>
                <w:szCs w:val="22"/>
              </w:rPr>
              <w:t>.</w:t>
            </w:r>
          </w:p>
        </w:tc>
      </w:tr>
      <w:tr w:rsidR="0096637B" w:rsidTr="00D84204">
        <w:tc>
          <w:tcPr>
            <w:tcW w:w="846" w:type="dxa"/>
            <w:tcBorders>
              <w:top w:val="single" w:sz="4" w:space="0" w:color="D5DCE4" w:themeColor="text2" w:themeTint="33"/>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2</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la coordination du regroupement cégep sollicite une rencontre avec la Fédération des cégeps pour lui demander de clarifier sa position et pour lui présenter notre démarche.</w:t>
            </w:r>
          </w:p>
        </w:tc>
      </w:tr>
      <w:tr w:rsidR="0096637B" w:rsidTr="00D84204">
        <w:tc>
          <w:tcPr>
            <w:tcW w:w="846" w:type="dxa"/>
            <w:tcBorders>
              <w:top w:val="single" w:sz="4" w:space="0" w:color="D5DCE4" w:themeColor="text2" w:themeTint="33"/>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3</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les syndicats interpellent leur direction des études afin de s’assurer que la consultation implique les départements, le comité de programme et la Commission des études et que la direction convienne avec le syndicat d’un calendrier de consultation qui tienne compte des étapes du plan d’action.</w:t>
            </w:r>
          </w:p>
        </w:tc>
      </w:tr>
      <w:tr w:rsidR="0096637B" w:rsidTr="00D84204">
        <w:tc>
          <w:tcPr>
            <w:tcW w:w="846" w:type="dxa"/>
            <w:tcBorders>
              <w:top w:val="single" w:sz="4" w:space="0" w:color="D5DCE4" w:themeColor="text2" w:themeTint="33"/>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4</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la coordination du regroupement cégep organise d’ici le mois d’avril la tenue d’un « comité de programme national », comité qui serait composé d’un membre de chaque comité de programme local et d’un membre du comité exécutif syndical local. La tenue de cette rencontre devrait précéder l’envoi des avis locaux sur la consultation.</w:t>
            </w:r>
          </w:p>
        </w:tc>
      </w:tr>
      <w:tr w:rsidR="0096637B" w:rsidTr="00D84204">
        <w:tc>
          <w:tcPr>
            <w:tcW w:w="846" w:type="dxa"/>
            <w:tcBorders>
              <w:top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5</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 xml:space="preserve">Que la coordination du regroupement mette en place un espace collaboratif afin de permettre des échanges et une concertation au sein du comité de programme national. </w:t>
            </w:r>
          </w:p>
        </w:tc>
      </w:tr>
      <w:tr w:rsidR="0096637B" w:rsidTr="00D84204">
        <w:tc>
          <w:tcPr>
            <w:tcW w:w="846" w:type="dxa"/>
            <w:tcBorders>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6</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les syndicats, en collaboration avec le comité de programme, organisent une rencontre avec les départements concernés en vue de la rencontre nationale afin d’échanger sur les balises du maintien du caractère national du DEC</w:t>
            </w:r>
            <w:r w:rsidR="00F96D77">
              <w:rPr>
                <w:rFonts w:asciiTheme="minorHAnsi" w:hAnsiTheme="minorHAnsi" w:cs="Cordia New"/>
                <w:sz w:val="22"/>
                <w:szCs w:val="22"/>
              </w:rPr>
              <w:t xml:space="preserve"> en S</w:t>
            </w:r>
            <w:r w:rsidRPr="0096637B">
              <w:rPr>
                <w:rFonts w:asciiTheme="minorHAnsi" w:hAnsiTheme="minorHAnsi" w:cs="Cordia New"/>
                <w:sz w:val="22"/>
                <w:szCs w:val="22"/>
              </w:rPr>
              <w:t>ciences de la nature.</w:t>
            </w:r>
          </w:p>
        </w:tc>
      </w:tr>
      <w:tr w:rsidR="0096637B" w:rsidTr="00D84204">
        <w:tc>
          <w:tcPr>
            <w:tcW w:w="846" w:type="dxa"/>
            <w:tcBorders>
              <w:top w:val="single" w:sz="4" w:space="0" w:color="D5DCE4" w:themeColor="text2" w:themeTint="33"/>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7</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 xml:space="preserve">Que les syndicats interpellent les autres syndicats et l’association étudiante afin de les informer de l’importance du maintien du caractère national du DEC. </w:t>
            </w:r>
          </w:p>
        </w:tc>
      </w:tr>
      <w:tr w:rsidR="0096637B" w:rsidTr="00D84204">
        <w:tc>
          <w:tcPr>
            <w:tcW w:w="846" w:type="dxa"/>
            <w:tcBorders>
              <w:top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8</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la FNEEQ produise un document d’information et de mobilisation pour la campagne nationale « Un DEC, c’est un DEC, partout au Québec</w:t>
            </w:r>
            <w:r w:rsidR="00F96D77">
              <w:rPr>
                <w:rFonts w:asciiTheme="minorHAnsi" w:hAnsiTheme="minorHAnsi" w:cs="Cordia New"/>
                <w:sz w:val="22"/>
                <w:szCs w:val="22"/>
              </w:rPr>
              <w:t> !</w:t>
            </w:r>
            <w:r w:rsidRPr="0096637B">
              <w:rPr>
                <w:rFonts w:asciiTheme="minorHAnsi" w:hAnsiTheme="minorHAnsi" w:cs="Cordia New"/>
                <w:sz w:val="22"/>
                <w:szCs w:val="22"/>
              </w:rPr>
              <w:t> »</w:t>
            </w:r>
            <w:r w:rsidR="00E36532">
              <w:rPr>
                <w:rFonts w:asciiTheme="minorHAnsi" w:hAnsiTheme="minorHAnsi" w:cs="Cordia New"/>
                <w:sz w:val="22"/>
                <w:szCs w:val="22"/>
              </w:rPr>
              <w:t>.</w:t>
            </w:r>
          </w:p>
        </w:tc>
      </w:tr>
      <w:tr w:rsidR="0096637B" w:rsidTr="00D84204">
        <w:tc>
          <w:tcPr>
            <w:tcW w:w="846" w:type="dxa"/>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9</w:t>
            </w:r>
          </w:p>
        </w:tc>
        <w:tc>
          <w:tcPr>
            <w:tcW w:w="9360" w:type="dxa"/>
            <w:tcBorders>
              <w:top w:val="single" w:sz="4" w:space="0" w:color="D5DCE4" w:themeColor="text2" w:themeTint="33"/>
              <w:bottom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la coordination du regroupement cégep interpelle celle du regroupement privé afin que les syndicats des établissements collégiaux du regroupement privé puissent s’inscrire dans cette démarche.</w:t>
            </w:r>
          </w:p>
        </w:tc>
      </w:tr>
      <w:tr w:rsidR="0096637B" w:rsidTr="00D84204">
        <w:tc>
          <w:tcPr>
            <w:tcW w:w="846" w:type="dxa"/>
            <w:tcBorders>
              <w:bottom w:val="single" w:sz="4" w:space="0" w:color="D5DCE4" w:themeColor="text2" w:themeTint="33"/>
            </w:tcBorders>
            <w:shd w:val="clear" w:color="auto" w:fill="D5DCE4" w:themeFill="text2" w:themeFillTint="33"/>
            <w:vAlign w:val="center"/>
          </w:tcPr>
          <w:p w:rsidR="0096637B" w:rsidRPr="0096637B" w:rsidRDefault="0096637B" w:rsidP="00D84204">
            <w:pPr>
              <w:spacing w:before="120" w:after="120" w:line="240" w:lineRule="auto"/>
              <w:jc w:val="center"/>
              <w:rPr>
                <w:rFonts w:ascii="Century Gothic" w:hAnsi="Century Gothic" w:cs="Cordia New"/>
                <w:b/>
                <w:i/>
                <w:sz w:val="28"/>
                <w:szCs w:val="28"/>
              </w:rPr>
            </w:pPr>
            <w:r w:rsidRPr="0096637B">
              <w:rPr>
                <w:rFonts w:ascii="Century Gothic" w:hAnsi="Century Gothic" w:cs="Cordia New"/>
                <w:b/>
                <w:i/>
                <w:sz w:val="28"/>
                <w:szCs w:val="28"/>
              </w:rPr>
              <w:t>10</w:t>
            </w:r>
          </w:p>
        </w:tc>
        <w:tc>
          <w:tcPr>
            <w:tcW w:w="9360" w:type="dxa"/>
            <w:tcBorders>
              <w:top w:val="single" w:sz="4" w:space="0" w:color="D5DCE4" w:themeColor="text2" w:themeTint="33"/>
            </w:tcBorders>
          </w:tcPr>
          <w:p w:rsidR="0096637B" w:rsidRPr="0096637B" w:rsidRDefault="0096637B" w:rsidP="00D84204">
            <w:pPr>
              <w:spacing w:before="120" w:after="120" w:line="240" w:lineRule="auto"/>
              <w:ind w:left="180"/>
              <w:jc w:val="both"/>
              <w:rPr>
                <w:rFonts w:cs="Cordia New"/>
              </w:rPr>
            </w:pPr>
            <w:r w:rsidRPr="0096637B">
              <w:rPr>
                <w:rFonts w:asciiTheme="minorHAnsi" w:hAnsiTheme="minorHAnsi" w:cs="Cordia New"/>
                <w:sz w:val="22"/>
                <w:szCs w:val="22"/>
              </w:rPr>
              <w:t>Que le plan d’action soit révisé en fonction de l’évolution de la situation.</w:t>
            </w:r>
          </w:p>
        </w:tc>
      </w:tr>
    </w:tbl>
    <w:p w:rsidR="00473924" w:rsidRPr="00473924" w:rsidRDefault="00473924" w:rsidP="00473924">
      <w:pPr>
        <w:spacing w:before="120" w:after="120"/>
        <w:jc w:val="both"/>
        <w:rPr>
          <w:rFonts w:asciiTheme="minorHAnsi" w:hAnsiTheme="minorHAnsi" w:cs="Cordia New"/>
          <w:sz w:val="22"/>
          <w:szCs w:val="22"/>
        </w:rPr>
      </w:pPr>
    </w:p>
    <w:sectPr w:rsidR="00473924" w:rsidRPr="00473924" w:rsidSect="00D84204">
      <w:headerReference w:type="default" r:id="rId9"/>
      <w:pgSz w:w="12240" w:h="15840"/>
      <w:pgMar w:top="1304" w:right="907" w:bottom="709" w:left="907" w:header="851"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C63" w:rsidRDefault="00B86C63" w:rsidP="0096637B">
      <w:pPr>
        <w:spacing w:after="0" w:line="240" w:lineRule="auto"/>
      </w:pPr>
      <w:r>
        <w:separator/>
      </w:r>
    </w:p>
  </w:endnote>
  <w:endnote w:type="continuationSeparator" w:id="0">
    <w:p w:rsidR="00B86C63" w:rsidRDefault="00B86C63" w:rsidP="00966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1"/>
    <w:family w:val="roman"/>
    <w:pitch w:val="variable"/>
  </w:font>
  <w:font w:name="WenQuanYi Zen Hei">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ans">
    <w:altName w:val="Arial"/>
    <w:charset w:val="01"/>
    <w:family w:val="swiss"/>
    <w:pitch w:val="variable"/>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Kozuka Gothic Pro M">
    <w:panose1 w:val="00000000000000000000"/>
    <w:charset w:val="80"/>
    <w:family w:val="swiss"/>
    <w:notTrueType/>
    <w:pitch w:val="variable"/>
    <w:sig w:usb0="00000283" w:usb1="2AC71C11" w:usb2="00000012" w:usb3="00000000" w:csb0="00020005"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C63" w:rsidRDefault="00B86C63" w:rsidP="0096637B">
      <w:pPr>
        <w:spacing w:after="0" w:line="240" w:lineRule="auto"/>
      </w:pPr>
      <w:r>
        <w:separator/>
      </w:r>
    </w:p>
  </w:footnote>
  <w:footnote w:type="continuationSeparator" w:id="0">
    <w:p w:rsidR="00B86C63" w:rsidRDefault="00B86C63" w:rsidP="009663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70F7" w:rsidRDefault="001F70F7" w:rsidP="000F0E47">
    <w:pPr>
      <w:pStyle w:val="En-tte"/>
      <w:ind w:right="220"/>
      <w:jc w:val="right"/>
    </w:pPr>
    <w:r w:rsidRPr="001F70F7">
      <w:rPr>
        <w:rFonts w:asciiTheme="majorHAnsi" w:hAnsiTheme="majorHAnsi"/>
        <w:sz w:val="20"/>
        <w:szCs w:val="20"/>
      </w:rPr>
      <w:t xml:space="preserve">Plan d’action </w:t>
    </w:r>
    <w:r w:rsidR="00D84204">
      <w:rPr>
        <w:rFonts w:asciiTheme="majorHAnsi" w:hAnsiTheme="majorHAnsi"/>
        <w:sz w:val="20"/>
        <w:szCs w:val="20"/>
      </w:rPr>
      <w:t>adopté</w:t>
    </w:r>
    <w:r w:rsidRPr="001F70F7">
      <w:rPr>
        <w:rFonts w:asciiTheme="majorHAnsi" w:hAnsiTheme="majorHAnsi"/>
        <w:sz w:val="20"/>
        <w:szCs w:val="20"/>
      </w:rPr>
      <w:t xml:space="preserve"> à la réunion du regroupement cégep des 1</w:t>
    </w:r>
    <w:r w:rsidRPr="001F70F7">
      <w:rPr>
        <w:rFonts w:asciiTheme="majorHAnsi" w:hAnsiTheme="majorHAnsi"/>
        <w:sz w:val="20"/>
        <w:szCs w:val="20"/>
        <w:vertAlign w:val="superscript"/>
      </w:rPr>
      <w:t>er</w:t>
    </w:r>
    <w:r w:rsidRPr="001F70F7">
      <w:rPr>
        <w:rFonts w:asciiTheme="majorHAnsi" w:hAnsiTheme="majorHAnsi"/>
        <w:sz w:val="20"/>
        <w:szCs w:val="20"/>
      </w:rPr>
      <w:t xml:space="preserve"> et 2 mars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0B32ED"/>
    <w:multiLevelType w:val="multilevel"/>
    <w:tmpl w:val="F170EEBC"/>
    <w:lvl w:ilvl="0">
      <w:start w:val="1"/>
      <w:numFmt w:val="decimal"/>
      <w:lvlText w:val="%1."/>
      <w:lvlJc w:val="left"/>
      <w:pPr>
        <w:tabs>
          <w:tab w:val="num" w:pos="720"/>
        </w:tabs>
        <w:ind w:left="720" w:hanging="360"/>
      </w:pPr>
      <w:rPr>
        <w:b/>
        <w:color w:val="323E4F" w:themeColor="text2" w:themeShade="BF"/>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50C44280"/>
    <w:multiLevelType w:val="multilevel"/>
    <w:tmpl w:val="AAD42648"/>
    <w:lvl w:ilvl="0">
      <w:start w:val="1"/>
      <w:numFmt w:val="decimal"/>
      <w:lvlText w:val="%1."/>
      <w:lvlJc w:val="left"/>
      <w:pPr>
        <w:tabs>
          <w:tab w:val="num" w:pos="720"/>
        </w:tabs>
        <w:ind w:left="720" w:hanging="360"/>
      </w:pPr>
      <w:rPr>
        <w:b/>
        <w:color w:val="323E4F" w:themeColor="text2" w:themeShade="BF"/>
      </w:rPr>
    </w:lvl>
    <w:lvl w:ilvl="1">
      <w:start w:val="1"/>
      <w:numFmt w:val="bullet"/>
      <w:lvlText w:val=""/>
      <w:lvlJc w:val="left"/>
      <w:pPr>
        <w:tabs>
          <w:tab w:val="num" w:pos="1080"/>
        </w:tabs>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70570552"/>
    <w:multiLevelType w:val="hybridMultilevel"/>
    <w:tmpl w:val="6F5A58A4"/>
    <w:lvl w:ilvl="0" w:tplc="6F7A132A">
      <w:start w:val="1"/>
      <w:numFmt w:val="lowerLetter"/>
      <w:lvlText w:val="%1)"/>
      <w:lvlJc w:val="left"/>
      <w:pPr>
        <w:ind w:left="717" w:hanging="360"/>
      </w:pPr>
      <w:rPr>
        <w:rFonts w:asciiTheme="minorHAnsi" w:hAnsiTheme="minorHAnsi" w:hint="default"/>
        <w:sz w:val="22"/>
      </w:rPr>
    </w:lvl>
    <w:lvl w:ilvl="1" w:tplc="0C0C0019" w:tentative="1">
      <w:start w:val="1"/>
      <w:numFmt w:val="lowerLetter"/>
      <w:lvlText w:val="%2."/>
      <w:lvlJc w:val="left"/>
      <w:pPr>
        <w:ind w:left="1437" w:hanging="360"/>
      </w:pPr>
    </w:lvl>
    <w:lvl w:ilvl="2" w:tplc="0C0C001B" w:tentative="1">
      <w:start w:val="1"/>
      <w:numFmt w:val="lowerRoman"/>
      <w:lvlText w:val="%3."/>
      <w:lvlJc w:val="right"/>
      <w:pPr>
        <w:ind w:left="2157" w:hanging="180"/>
      </w:pPr>
    </w:lvl>
    <w:lvl w:ilvl="3" w:tplc="0C0C000F" w:tentative="1">
      <w:start w:val="1"/>
      <w:numFmt w:val="decimal"/>
      <w:lvlText w:val="%4."/>
      <w:lvlJc w:val="left"/>
      <w:pPr>
        <w:ind w:left="2877" w:hanging="360"/>
      </w:pPr>
    </w:lvl>
    <w:lvl w:ilvl="4" w:tplc="0C0C0019" w:tentative="1">
      <w:start w:val="1"/>
      <w:numFmt w:val="lowerLetter"/>
      <w:lvlText w:val="%5."/>
      <w:lvlJc w:val="left"/>
      <w:pPr>
        <w:ind w:left="3597" w:hanging="360"/>
      </w:pPr>
    </w:lvl>
    <w:lvl w:ilvl="5" w:tplc="0C0C001B" w:tentative="1">
      <w:start w:val="1"/>
      <w:numFmt w:val="lowerRoman"/>
      <w:lvlText w:val="%6."/>
      <w:lvlJc w:val="right"/>
      <w:pPr>
        <w:ind w:left="4317" w:hanging="180"/>
      </w:pPr>
    </w:lvl>
    <w:lvl w:ilvl="6" w:tplc="0C0C000F" w:tentative="1">
      <w:start w:val="1"/>
      <w:numFmt w:val="decimal"/>
      <w:lvlText w:val="%7."/>
      <w:lvlJc w:val="left"/>
      <w:pPr>
        <w:ind w:left="5037" w:hanging="360"/>
      </w:pPr>
    </w:lvl>
    <w:lvl w:ilvl="7" w:tplc="0C0C0019" w:tentative="1">
      <w:start w:val="1"/>
      <w:numFmt w:val="lowerLetter"/>
      <w:lvlText w:val="%8."/>
      <w:lvlJc w:val="left"/>
      <w:pPr>
        <w:ind w:left="5757" w:hanging="360"/>
      </w:pPr>
    </w:lvl>
    <w:lvl w:ilvl="8" w:tplc="0C0C001B" w:tentative="1">
      <w:start w:val="1"/>
      <w:numFmt w:val="lowerRoman"/>
      <w:lvlText w:val="%9."/>
      <w:lvlJc w:val="right"/>
      <w:pPr>
        <w:ind w:left="6477" w:hanging="180"/>
      </w:pPr>
    </w:lvl>
  </w:abstractNum>
  <w:abstractNum w:abstractNumId="3" w15:restartNumberingAfterBreak="0">
    <w:nsid w:val="72E20E65"/>
    <w:multiLevelType w:val="hybridMultilevel"/>
    <w:tmpl w:val="146CE73C"/>
    <w:lvl w:ilvl="0" w:tplc="952673AE">
      <w:start w:val="1"/>
      <w:numFmt w:val="decimal"/>
      <w:lvlText w:val="%1."/>
      <w:lvlJc w:val="left"/>
      <w:pPr>
        <w:ind w:left="720" w:hanging="360"/>
      </w:pPr>
      <w:rPr>
        <w:b/>
        <w:sz w:val="28"/>
        <w:szCs w:val="28"/>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F31"/>
    <w:rsid w:val="00081FF5"/>
    <w:rsid w:val="000F0E47"/>
    <w:rsid w:val="001F70F7"/>
    <w:rsid w:val="0026337A"/>
    <w:rsid w:val="00285184"/>
    <w:rsid w:val="002A563D"/>
    <w:rsid w:val="002C4C54"/>
    <w:rsid w:val="002C621C"/>
    <w:rsid w:val="00312EF1"/>
    <w:rsid w:val="003730EE"/>
    <w:rsid w:val="00427CF3"/>
    <w:rsid w:val="00473924"/>
    <w:rsid w:val="004F10F6"/>
    <w:rsid w:val="0059609B"/>
    <w:rsid w:val="005A6F31"/>
    <w:rsid w:val="005D743B"/>
    <w:rsid w:val="005F5AAA"/>
    <w:rsid w:val="00657CEA"/>
    <w:rsid w:val="006B773E"/>
    <w:rsid w:val="00836068"/>
    <w:rsid w:val="008F6AB6"/>
    <w:rsid w:val="0091464E"/>
    <w:rsid w:val="00952A04"/>
    <w:rsid w:val="0096637B"/>
    <w:rsid w:val="009C7896"/>
    <w:rsid w:val="009F6D5A"/>
    <w:rsid w:val="00A13A67"/>
    <w:rsid w:val="00A65E87"/>
    <w:rsid w:val="00A97355"/>
    <w:rsid w:val="00B77FCB"/>
    <w:rsid w:val="00B853C5"/>
    <w:rsid w:val="00B86C63"/>
    <w:rsid w:val="00BA054C"/>
    <w:rsid w:val="00C74516"/>
    <w:rsid w:val="00C80BA6"/>
    <w:rsid w:val="00D84204"/>
    <w:rsid w:val="00E36532"/>
    <w:rsid w:val="00E411FB"/>
    <w:rsid w:val="00F866DE"/>
    <w:rsid w:val="00F96D77"/>
    <w:rsid w:val="00FF190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86F40A9-180D-4AE1-B0E1-A48231FB2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6F31"/>
    <w:pPr>
      <w:widowControl w:val="0"/>
      <w:suppressAutoHyphens/>
      <w:spacing w:after="200" w:line="276" w:lineRule="auto"/>
    </w:pPr>
    <w:rPr>
      <w:rFonts w:ascii="Liberation Serif" w:eastAsia="WenQuanYi Zen Hei" w:hAnsi="Liberation Serif" w:cs="FreeSans"/>
      <w:sz w:val="24"/>
      <w:szCs w:val="24"/>
      <w:lang w:eastAsia="zh-CN" w:bidi="hi-IN"/>
    </w:rPr>
  </w:style>
  <w:style w:type="paragraph" w:styleId="Titre1">
    <w:name w:val="heading 1"/>
    <w:basedOn w:val="Normal"/>
    <w:next w:val="Normal"/>
    <w:link w:val="Titre1Car"/>
    <w:qFormat/>
    <w:rsid w:val="005A6F31"/>
    <w:pPr>
      <w:keepNext/>
      <w:spacing w:before="240" w:after="120"/>
      <w:outlineLvl w:val="0"/>
    </w:pPr>
    <w:rPr>
      <w:rFonts w:ascii="Liberation Sans" w:hAnsi="Liberation Sans"/>
      <w:b/>
      <w:bCs/>
      <w:sz w:val="32"/>
      <w:szCs w:val="3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5A6F31"/>
    <w:rPr>
      <w:rFonts w:ascii="Liberation Sans" w:eastAsia="WenQuanYi Zen Hei" w:hAnsi="Liberation Sans" w:cs="FreeSans"/>
      <w:b/>
      <w:bCs/>
      <w:sz w:val="32"/>
      <w:szCs w:val="32"/>
      <w:lang w:eastAsia="zh-CN" w:bidi="hi-IN"/>
    </w:rPr>
  </w:style>
  <w:style w:type="paragraph" w:styleId="Paragraphedeliste">
    <w:name w:val="List Paragraph"/>
    <w:basedOn w:val="Normal"/>
    <w:rsid w:val="005A6F31"/>
    <w:pPr>
      <w:spacing w:after="0"/>
      <w:ind w:left="720"/>
      <w:contextualSpacing/>
    </w:pPr>
    <w:rPr>
      <w:rFonts w:cs="Cambria"/>
      <w:lang w:eastAsia="en-US"/>
    </w:rPr>
  </w:style>
  <w:style w:type="table" w:styleId="Grilledutableau">
    <w:name w:val="Table Grid"/>
    <w:basedOn w:val="TableauNormal"/>
    <w:uiPriority w:val="39"/>
    <w:rsid w:val="005A6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81FF5"/>
    <w:rPr>
      <w:color w:val="0563C1" w:themeColor="hyperlink"/>
      <w:u w:val="single"/>
    </w:rPr>
  </w:style>
  <w:style w:type="character" w:styleId="Lienhypertextesuivivisit">
    <w:name w:val="FollowedHyperlink"/>
    <w:basedOn w:val="Policepardfaut"/>
    <w:uiPriority w:val="99"/>
    <w:semiHidden/>
    <w:unhideWhenUsed/>
    <w:rsid w:val="00081FF5"/>
    <w:rPr>
      <w:color w:val="954F72" w:themeColor="followedHyperlink"/>
      <w:u w:val="single"/>
    </w:rPr>
  </w:style>
  <w:style w:type="paragraph" w:styleId="En-tte">
    <w:name w:val="header"/>
    <w:basedOn w:val="Normal"/>
    <w:link w:val="En-tteCar"/>
    <w:uiPriority w:val="99"/>
    <w:unhideWhenUsed/>
    <w:rsid w:val="0096637B"/>
    <w:pPr>
      <w:tabs>
        <w:tab w:val="center" w:pos="4320"/>
        <w:tab w:val="right" w:pos="8640"/>
      </w:tabs>
      <w:spacing w:after="0" w:line="240" w:lineRule="auto"/>
    </w:pPr>
    <w:rPr>
      <w:rFonts w:cs="Mangal"/>
      <w:szCs w:val="21"/>
    </w:rPr>
  </w:style>
  <w:style w:type="character" w:customStyle="1" w:styleId="En-tteCar">
    <w:name w:val="En-tête Car"/>
    <w:basedOn w:val="Policepardfaut"/>
    <w:link w:val="En-tte"/>
    <w:uiPriority w:val="99"/>
    <w:rsid w:val="0096637B"/>
    <w:rPr>
      <w:rFonts w:ascii="Liberation Serif" w:eastAsia="WenQuanYi Zen Hei" w:hAnsi="Liberation Serif" w:cs="Mangal"/>
      <w:sz w:val="24"/>
      <w:szCs w:val="21"/>
      <w:lang w:eastAsia="zh-CN" w:bidi="hi-IN"/>
    </w:rPr>
  </w:style>
  <w:style w:type="paragraph" w:styleId="Pieddepage">
    <w:name w:val="footer"/>
    <w:basedOn w:val="Normal"/>
    <w:link w:val="PieddepageCar"/>
    <w:uiPriority w:val="99"/>
    <w:unhideWhenUsed/>
    <w:rsid w:val="0096637B"/>
    <w:pPr>
      <w:tabs>
        <w:tab w:val="center" w:pos="4320"/>
        <w:tab w:val="right" w:pos="8640"/>
      </w:tabs>
      <w:spacing w:after="0" w:line="240" w:lineRule="auto"/>
    </w:pPr>
    <w:rPr>
      <w:rFonts w:cs="Mangal"/>
      <w:szCs w:val="21"/>
    </w:rPr>
  </w:style>
  <w:style w:type="character" w:customStyle="1" w:styleId="PieddepageCar">
    <w:name w:val="Pied de page Car"/>
    <w:basedOn w:val="Policepardfaut"/>
    <w:link w:val="Pieddepage"/>
    <w:uiPriority w:val="99"/>
    <w:rsid w:val="0096637B"/>
    <w:rPr>
      <w:rFonts w:ascii="Liberation Serif" w:eastAsia="WenQuanYi Zen Hei" w:hAnsi="Liberation Serif" w:cs="Mangal"/>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B357D-3E3E-4C93-9ACD-D492161EC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456</Words>
  <Characters>2509</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CSN</Company>
  <LinksUpToDate>false</LinksUpToDate>
  <CharactersWithSpaces>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Milot</dc:creator>
  <cp:keywords/>
  <dc:description/>
  <cp:lastModifiedBy>Ariane Bilodeau</cp:lastModifiedBy>
  <cp:revision>4</cp:revision>
  <cp:lastPrinted>2018-02-27T16:14:00Z</cp:lastPrinted>
  <dcterms:created xsi:type="dcterms:W3CDTF">2018-03-02T20:27:00Z</dcterms:created>
  <dcterms:modified xsi:type="dcterms:W3CDTF">2018-03-02T20:42:00Z</dcterms:modified>
</cp:coreProperties>
</file>